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47BC" w14:textId="77777777" w:rsidR="00D84A91" w:rsidRDefault="00D84A91">
      <w:pPr>
        <w:rPr>
          <w:rFonts w:ascii="Verdana" w:hAnsi="Verdana"/>
          <w:b/>
          <w:iCs/>
        </w:rPr>
      </w:pPr>
    </w:p>
    <w:p w14:paraId="19B6E60B" w14:textId="77777777" w:rsidR="001B4D16" w:rsidRDefault="001B4D16">
      <w:pPr>
        <w:rPr>
          <w:rFonts w:ascii="Verdana" w:hAnsi="Verdana"/>
          <w:b/>
          <w:iCs/>
        </w:rPr>
      </w:pPr>
    </w:p>
    <w:p w14:paraId="18A3F975" w14:textId="77777777" w:rsidR="00AF21D6" w:rsidRDefault="00CA7882">
      <w:pPr>
        <w:rPr>
          <w:rFonts w:ascii="Arial" w:hAnsi="Arial" w:cs="Arial"/>
          <w:b/>
          <w:iCs/>
          <w:sz w:val="28"/>
          <w:szCs w:val="28"/>
        </w:rPr>
      </w:pPr>
      <w:r w:rsidRPr="004C4D6E">
        <w:rPr>
          <w:rFonts w:ascii="Arial" w:hAnsi="Arial" w:cs="Arial"/>
          <w:b/>
          <w:iCs/>
          <w:sz w:val="28"/>
          <w:szCs w:val="28"/>
        </w:rPr>
        <w:t xml:space="preserve">MRC/CSO Social and Public Health Sciences Unit </w:t>
      </w:r>
    </w:p>
    <w:p w14:paraId="65A5BF97" w14:textId="77777777" w:rsidR="00532A49" w:rsidRPr="004C4D6E" w:rsidRDefault="00CA7882">
      <w:pPr>
        <w:rPr>
          <w:rFonts w:ascii="Arial" w:hAnsi="Arial" w:cs="Arial"/>
          <w:b/>
          <w:sz w:val="28"/>
          <w:szCs w:val="28"/>
        </w:rPr>
      </w:pPr>
      <w:r w:rsidRPr="004C4D6E">
        <w:rPr>
          <w:rFonts w:ascii="Arial" w:hAnsi="Arial" w:cs="Arial"/>
          <w:b/>
          <w:iCs/>
          <w:sz w:val="28"/>
          <w:szCs w:val="28"/>
        </w:rPr>
        <w:t>Consultation Response</w:t>
      </w:r>
    </w:p>
    <w:p w14:paraId="22B3E5A4" w14:textId="77777777" w:rsidR="00CA7882" w:rsidRPr="004C4D6E" w:rsidRDefault="00CA7882">
      <w:pPr>
        <w:rPr>
          <w:rFonts w:ascii="Arial" w:hAnsi="Arial" w:cs="Arial"/>
          <w:sz w:val="20"/>
          <w:szCs w:val="20"/>
        </w:rPr>
      </w:pPr>
    </w:p>
    <w:p w14:paraId="6A7D79A0" w14:textId="77777777" w:rsidR="00CA7882" w:rsidRPr="004C4D6E" w:rsidRDefault="00CA7882">
      <w:pPr>
        <w:rPr>
          <w:rFonts w:ascii="Arial" w:hAnsi="Arial" w:cs="Arial"/>
        </w:rPr>
      </w:pPr>
    </w:p>
    <w:tbl>
      <w:tblPr>
        <w:tblStyle w:val="TableGrid"/>
        <w:tblW w:w="0" w:type="auto"/>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ook w:val="04A0" w:firstRow="1" w:lastRow="0" w:firstColumn="1" w:lastColumn="0" w:noHBand="0" w:noVBand="1"/>
      </w:tblPr>
      <w:tblGrid>
        <w:gridCol w:w="9514"/>
      </w:tblGrid>
      <w:tr w:rsidR="00B07983" w:rsidRPr="004C4D6E" w14:paraId="7832D591" w14:textId="77777777" w:rsidTr="00C9742B">
        <w:trPr>
          <w:trHeight w:val="258"/>
        </w:trPr>
        <w:tc>
          <w:tcPr>
            <w:tcW w:w="9740" w:type="dxa"/>
            <w:vAlign w:val="center"/>
          </w:tcPr>
          <w:p w14:paraId="6AAFE00A" w14:textId="77777777" w:rsidR="00B07983" w:rsidRPr="004C4D6E" w:rsidRDefault="00B07983" w:rsidP="00B07983">
            <w:pPr>
              <w:rPr>
                <w:rFonts w:ascii="Arial" w:hAnsi="Arial" w:cs="Arial"/>
                <w:sz w:val="24"/>
                <w:szCs w:val="24"/>
              </w:rPr>
            </w:pPr>
            <w:r w:rsidRPr="004C4D6E">
              <w:rPr>
                <w:rFonts w:ascii="Arial" w:hAnsi="Arial" w:cs="Arial"/>
                <w:b/>
                <w:sz w:val="24"/>
                <w:szCs w:val="24"/>
              </w:rPr>
              <w:t>Title of consultation</w:t>
            </w:r>
          </w:p>
        </w:tc>
      </w:tr>
      <w:tr w:rsidR="00AB39B3" w:rsidRPr="004C4D6E" w14:paraId="2F98BEDF" w14:textId="77777777" w:rsidTr="001366F5">
        <w:trPr>
          <w:trHeight w:val="545"/>
        </w:trPr>
        <w:tc>
          <w:tcPr>
            <w:tcW w:w="9740" w:type="dxa"/>
          </w:tcPr>
          <w:p w14:paraId="70029EF3" w14:textId="57BD6DA4" w:rsidR="00AB39B3" w:rsidRPr="00AB39B3" w:rsidRDefault="00AB39B3" w:rsidP="00AB39B3">
            <w:pPr>
              <w:rPr>
                <w:rFonts w:asciiTheme="minorBidi" w:hAnsiTheme="minorBidi" w:cstheme="minorBidi"/>
              </w:rPr>
            </w:pPr>
            <w:r w:rsidRPr="00AB39B3">
              <w:rPr>
                <w:rFonts w:asciiTheme="minorBidi" w:hAnsiTheme="minorBidi" w:cstheme="minorBidi"/>
              </w:rPr>
              <w:t>Local living and 20-minute neighbourhoods - planning guidance: consultation</w:t>
            </w:r>
          </w:p>
        </w:tc>
      </w:tr>
      <w:tr w:rsidR="00AB39B3" w:rsidRPr="004C4D6E" w14:paraId="3EDCD825" w14:textId="77777777" w:rsidTr="00B07983">
        <w:trPr>
          <w:trHeight w:val="405"/>
        </w:trPr>
        <w:tc>
          <w:tcPr>
            <w:tcW w:w="9740" w:type="dxa"/>
            <w:vAlign w:val="center"/>
          </w:tcPr>
          <w:p w14:paraId="11DF4EC0" w14:textId="77777777" w:rsidR="00AB39B3" w:rsidRPr="004C4D6E" w:rsidRDefault="00AB39B3" w:rsidP="00AB39B3">
            <w:pPr>
              <w:rPr>
                <w:rFonts w:ascii="Arial" w:hAnsi="Arial" w:cs="Arial"/>
                <w:sz w:val="24"/>
                <w:szCs w:val="24"/>
              </w:rPr>
            </w:pPr>
            <w:r w:rsidRPr="004C4D6E">
              <w:rPr>
                <w:rFonts w:ascii="Arial" w:hAnsi="Arial" w:cs="Arial"/>
                <w:b/>
                <w:sz w:val="24"/>
                <w:szCs w:val="24"/>
              </w:rPr>
              <w:t>Name of the consulting body</w:t>
            </w:r>
          </w:p>
        </w:tc>
      </w:tr>
      <w:tr w:rsidR="00AB39B3" w:rsidRPr="004C4D6E" w14:paraId="37324C67" w14:textId="77777777" w:rsidTr="001366F5">
        <w:trPr>
          <w:trHeight w:val="572"/>
        </w:trPr>
        <w:tc>
          <w:tcPr>
            <w:tcW w:w="9740" w:type="dxa"/>
          </w:tcPr>
          <w:p w14:paraId="395CC65A" w14:textId="55B25247" w:rsidR="00AB39B3" w:rsidRPr="004C4D6E" w:rsidRDefault="00AB39B3" w:rsidP="00AB39B3">
            <w:pPr>
              <w:rPr>
                <w:rFonts w:ascii="Arial" w:hAnsi="Arial" w:cs="Arial"/>
              </w:rPr>
            </w:pPr>
            <w:r>
              <w:rPr>
                <w:rFonts w:ascii="Arial" w:hAnsi="Arial" w:cs="Arial"/>
              </w:rPr>
              <w:t>Scottish Government</w:t>
            </w:r>
          </w:p>
        </w:tc>
      </w:tr>
      <w:tr w:rsidR="00AB39B3" w:rsidRPr="004C4D6E" w14:paraId="52FDEFF6" w14:textId="77777777" w:rsidTr="00B07983">
        <w:trPr>
          <w:trHeight w:val="425"/>
        </w:trPr>
        <w:tc>
          <w:tcPr>
            <w:tcW w:w="9740" w:type="dxa"/>
            <w:vAlign w:val="center"/>
          </w:tcPr>
          <w:p w14:paraId="1FA9DFDD" w14:textId="77777777" w:rsidR="00AB39B3" w:rsidRPr="004C4D6E" w:rsidRDefault="00AB39B3" w:rsidP="00AB39B3">
            <w:pPr>
              <w:rPr>
                <w:rFonts w:ascii="Arial" w:hAnsi="Arial" w:cs="Arial"/>
                <w:sz w:val="24"/>
                <w:szCs w:val="24"/>
              </w:rPr>
            </w:pPr>
            <w:r w:rsidRPr="004C4D6E">
              <w:rPr>
                <w:rFonts w:ascii="Arial" w:hAnsi="Arial" w:cs="Arial"/>
                <w:b/>
                <w:sz w:val="24"/>
                <w:szCs w:val="24"/>
              </w:rPr>
              <w:t>Link to consultation</w:t>
            </w:r>
          </w:p>
        </w:tc>
      </w:tr>
      <w:tr w:rsidR="00AB39B3" w:rsidRPr="004C4D6E" w14:paraId="4F89B74A" w14:textId="77777777" w:rsidTr="001366F5">
        <w:trPr>
          <w:trHeight w:val="558"/>
        </w:trPr>
        <w:tc>
          <w:tcPr>
            <w:tcW w:w="9740" w:type="dxa"/>
          </w:tcPr>
          <w:p w14:paraId="72EB7F90" w14:textId="0FAD8229" w:rsidR="00AB39B3" w:rsidRPr="00AB39B3" w:rsidRDefault="009473FC" w:rsidP="00AB39B3">
            <w:pPr>
              <w:rPr>
                <w:rFonts w:asciiTheme="minorBidi" w:hAnsiTheme="minorBidi" w:cstheme="minorBidi"/>
              </w:rPr>
            </w:pPr>
            <w:hyperlink r:id="rId7" w:history="1">
              <w:r w:rsidR="00AB39B3" w:rsidRPr="00AB39B3">
                <w:rPr>
                  <w:rStyle w:val="Hyperlink"/>
                  <w:rFonts w:asciiTheme="minorBidi" w:hAnsiTheme="minorBidi" w:cstheme="minorBidi"/>
                </w:rPr>
                <w:t>https://www.gov.scot/publications/local-living-20-minute-neighbourhoods-planning-guidance/pages/10/</w:t>
              </w:r>
            </w:hyperlink>
          </w:p>
        </w:tc>
      </w:tr>
      <w:tr w:rsidR="00AB39B3" w:rsidRPr="004C4D6E" w14:paraId="2A1AD9D8" w14:textId="77777777" w:rsidTr="00B07983">
        <w:trPr>
          <w:trHeight w:val="563"/>
        </w:trPr>
        <w:tc>
          <w:tcPr>
            <w:tcW w:w="9740" w:type="dxa"/>
            <w:vAlign w:val="center"/>
          </w:tcPr>
          <w:p w14:paraId="71497503" w14:textId="77777777" w:rsidR="00AB39B3" w:rsidRPr="004C4D6E" w:rsidRDefault="00AB39B3" w:rsidP="00AB39B3">
            <w:pPr>
              <w:rPr>
                <w:rFonts w:ascii="Arial" w:hAnsi="Arial" w:cs="Arial"/>
                <w:b/>
                <w:sz w:val="24"/>
                <w:szCs w:val="24"/>
              </w:rPr>
            </w:pPr>
            <w:r w:rsidRPr="004C4D6E">
              <w:rPr>
                <w:rFonts w:ascii="Arial" w:hAnsi="Arial" w:cs="Arial"/>
                <w:b/>
                <w:sz w:val="24"/>
                <w:szCs w:val="24"/>
              </w:rPr>
              <w:t>Why did the MRC/CSO Social and Public Health Sciences Unit contribute to this consultation?</w:t>
            </w:r>
          </w:p>
        </w:tc>
      </w:tr>
      <w:tr w:rsidR="00AB39B3" w:rsidRPr="004C4D6E" w14:paraId="65B1D545" w14:textId="77777777" w:rsidTr="001366F5">
        <w:trPr>
          <w:trHeight w:val="533"/>
        </w:trPr>
        <w:tc>
          <w:tcPr>
            <w:tcW w:w="9740" w:type="dxa"/>
          </w:tcPr>
          <w:p w14:paraId="74B14A97" w14:textId="0DA57682" w:rsidR="00AB39B3" w:rsidRPr="00AB39B3" w:rsidRDefault="00AB39B3" w:rsidP="00AB39B3">
            <w:pPr>
              <w:rPr>
                <w:rFonts w:asciiTheme="minorBidi" w:hAnsiTheme="minorBidi" w:cstheme="minorBidi"/>
              </w:rPr>
            </w:pPr>
            <w:r w:rsidRPr="00AB39B3">
              <w:rPr>
                <w:rFonts w:asciiTheme="minorBidi" w:hAnsiTheme="minorBidi" w:cstheme="minorBidi"/>
              </w:rPr>
              <w:t>The Scottish Government’s local living and 20</w:t>
            </w:r>
            <w:r>
              <w:rPr>
                <w:rFonts w:asciiTheme="minorBidi" w:hAnsiTheme="minorBidi" w:cstheme="minorBidi"/>
              </w:rPr>
              <w:t>-</w:t>
            </w:r>
            <w:r w:rsidRPr="00AB39B3">
              <w:rPr>
                <w:rFonts w:asciiTheme="minorBidi" w:hAnsiTheme="minorBidi" w:cstheme="minorBidi"/>
              </w:rPr>
              <w:t>minute neighbourhood policy include a range of potential outcomes that they suggest could promote healthy lifestyles and support physical and mental wellbeing. These include supporting climate action; decreased health inequalities; improved local economy; and improved liveability/quality of life.</w:t>
            </w:r>
          </w:p>
          <w:p w14:paraId="797B1205" w14:textId="77777777" w:rsidR="00AB39B3" w:rsidRPr="00AB39B3" w:rsidRDefault="00AB39B3" w:rsidP="00AB39B3">
            <w:pPr>
              <w:rPr>
                <w:rFonts w:asciiTheme="minorBidi" w:hAnsiTheme="minorBidi" w:cstheme="minorBidi"/>
              </w:rPr>
            </w:pPr>
          </w:p>
          <w:p w14:paraId="50876CF4" w14:textId="77777777" w:rsidR="00AB39B3" w:rsidRPr="00AB39B3" w:rsidRDefault="00AB39B3" w:rsidP="00AB39B3">
            <w:pPr>
              <w:rPr>
                <w:rFonts w:asciiTheme="minorBidi" w:hAnsiTheme="minorBidi" w:cstheme="minorBidi"/>
              </w:rPr>
            </w:pPr>
            <w:r w:rsidRPr="00AB39B3">
              <w:rPr>
                <w:rFonts w:asciiTheme="minorBidi" w:hAnsiTheme="minorBidi" w:cstheme="minorBidi"/>
              </w:rPr>
              <w:t>The place-based intervention and suggested outcomes relating to improving local liveability, decreasing health inequalities and improved liveability/quality of life are related to the research interests of the MRC/CSO Social and Public Health Sciences Unit.</w:t>
            </w:r>
          </w:p>
          <w:p w14:paraId="773C7718" w14:textId="77777777" w:rsidR="00AB39B3" w:rsidRPr="004C4D6E" w:rsidRDefault="00AB39B3" w:rsidP="00AB39B3">
            <w:pPr>
              <w:rPr>
                <w:rFonts w:ascii="Arial" w:hAnsi="Arial" w:cs="Arial"/>
              </w:rPr>
            </w:pPr>
          </w:p>
        </w:tc>
      </w:tr>
      <w:tr w:rsidR="00AB39B3" w:rsidRPr="004C4D6E" w14:paraId="71F37F12" w14:textId="77777777" w:rsidTr="00B07983">
        <w:trPr>
          <w:trHeight w:val="384"/>
        </w:trPr>
        <w:tc>
          <w:tcPr>
            <w:tcW w:w="9740" w:type="dxa"/>
            <w:vAlign w:val="center"/>
          </w:tcPr>
          <w:p w14:paraId="724F9427" w14:textId="77777777" w:rsidR="00AB39B3" w:rsidRPr="004C4D6E" w:rsidRDefault="00AB39B3" w:rsidP="00AB39B3">
            <w:pPr>
              <w:rPr>
                <w:rFonts w:ascii="Arial" w:hAnsi="Arial" w:cs="Arial"/>
                <w:sz w:val="24"/>
                <w:szCs w:val="24"/>
              </w:rPr>
            </w:pPr>
            <w:r w:rsidRPr="004C4D6E">
              <w:rPr>
                <w:rFonts w:ascii="Arial" w:hAnsi="Arial" w:cs="Arial"/>
                <w:b/>
                <w:sz w:val="24"/>
                <w:szCs w:val="24"/>
              </w:rPr>
              <w:t>Our consultation response</w:t>
            </w:r>
          </w:p>
        </w:tc>
      </w:tr>
      <w:tr w:rsidR="00AB39B3" w:rsidRPr="004C4D6E" w14:paraId="40E1BB4A" w14:textId="77777777" w:rsidTr="00B07983">
        <w:trPr>
          <w:trHeight w:val="384"/>
        </w:trPr>
        <w:tc>
          <w:tcPr>
            <w:tcW w:w="9740" w:type="dxa"/>
            <w:vAlign w:val="center"/>
          </w:tcPr>
          <w:p w14:paraId="4326A67C" w14:textId="7DBC678B" w:rsidR="00AB39B3" w:rsidRPr="00AB39B3" w:rsidRDefault="00AB39B3" w:rsidP="00AB39B3">
            <w:pPr>
              <w:rPr>
                <w:rFonts w:asciiTheme="minorBidi" w:hAnsiTheme="minorBidi" w:cstheme="minorBidi"/>
                <w:b/>
                <w:bCs/>
                <w:i/>
                <w:iCs/>
              </w:rPr>
            </w:pPr>
            <w:r w:rsidRPr="00AB39B3">
              <w:rPr>
                <w:rFonts w:asciiTheme="minorBidi" w:hAnsiTheme="minorBidi" w:cstheme="minorBidi"/>
                <w:b/>
                <w:bCs/>
                <w:i/>
                <w:iCs/>
              </w:rPr>
              <w:t xml:space="preserve">Question 1: How helpful is part 1 of the guidance in furthering the understanding of local living and 20-minute neighbourhoods in a Scottish context? </w:t>
            </w:r>
          </w:p>
          <w:p w14:paraId="3CCDC55B" w14:textId="77777777" w:rsidR="00AB39B3" w:rsidRPr="00AB39B3" w:rsidRDefault="00AB39B3" w:rsidP="00AB39B3">
            <w:pPr>
              <w:rPr>
                <w:rFonts w:asciiTheme="minorBidi" w:hAnsiTheme="minorBidi" w:cstheme="minorBidi"/>
                <w:i/>
                <w:iCs/>
              </w:rPr>
            </w:pPr>
          </w:p>
          <w:p w14:paraId="3D18FEFD" w14:textId="6687F6BC" w:rsidR="00AB39B3" w:rsidRPr="00AB39B3" w:rsidRDefault="00AB39B3" w:rsidP="00AB39B3">
            <w:pPr>
              <w:rPr>
                <w:rFonts w:asciiTheme="minorBidi" w:hAnsiTheme="minorBidi" w:cstheme="minorBidi"/>
              </w:rPr>
            </w:pPr>
            <w:r w:rsidRPr="00AB39B3">
              <w:rPr>
                <w:rFonts w:asciiTheme="minorBidi" w:hAnsiTheme="minorBidi" w:cstheme="minorBidi"/>
              </w:rPr>
              <w:t>Somewhat helpful.</w:t>
            </w:r>
          </w:p>
          <w:p w14:paraId="46C5D8BE" w14:textId="77777777" w:rsidR="00AB39B3" w:rsidRPr="00AB39B3" w:rsidRDefault="00AB39B3" w:rsidP="00AB39B3">
            <w:pPr>
              <w:rPr>
                <w:rFonts w:asciiTheme="minorBidi" w:hAnsiTheme="minorBidi" w:cstheme="minorBidi"/>
                <w:b/>
                <w:bCs/>
                <w:i/>
                <w:iCs/>
              </w:rPr>
            </w:pPr>
          </w:p>
          <w:p w14:paraId="2F18DE0C" w14:textId="77777777" w:rsidR="00AB39B3" w:rsidRPr="00AB39B3" w:rsidRDefault="00AB39B3" w:rsidP="00AB39B3">
            <w:pPr>
              <w:rPr>
                <w:rFonts w:asciiTheme="minorBidi" w:hAnsiTheme="minorBidi" w:cstheme="minorBidi"/>
              </w:rPr>
            </w:pPr>
            <w:r w:rsidRPr="00AB39B3">
              <w:rPr>
                <w:rFonts w:asciiTheme="minorBidi" w:hAnsiTheme="minorBidi" w:cstheme="minorBidi"/>
              </w:rPr>
              <w:t>The consultation provides a useful overview of the potential climatic, economic and health benefits from a local living and 20-minute neighbourhood urban design concept.</w:t>
            </w:r>
          </w:p>
          <w:p w14:paraId="680B30D9" w14:textId="77777777" w:rsidR="00AB39B3" w:rsidRPr="00AB39B3" w:rsidRDefault="00AB39B3" w:rsidP="00AB39B3">
            <w:pPr>
              <w:rPr>
                <w:rFonts w:asciiTheme="minorBidi" w:hAnsiTheme="minorBidi" w:cstheme="minorBidi"/>
              </w:rPr>
            </w:pPr>
          </w:p>
          <w:p w14:paraId="105DE168" w14:textId="77777777" w:rsidR="00AB39B3" w:rsidRPr="00AB39B3" w:rsidRDefault="00AB39B3" w:rsidP="00AB39B3">
            <w:pPr>
              <w:rPr>
                <w:rFonts w:asciiTheme="minorBidi" w:hAnsiTheme="minorBidi" w:cstheme="minorBidi"/>
              </w:rPr>
            </w:pPr>
            <w:r w:rsidRPr="00AB39B3">
              <w:rPr>
                <w:rFonts w:asciiTheme="minorBidi" w:hAnsiTheme="minorBidi" w:cstheme="minorBidi"/>
              </w:rPr>
              <w:t>The guidance bases this background on evidence from only one report and misses key evidence relating to local living and 20-minute neighbourhoods in a Scottish and global context.</w:t>
            </w:r>
          </w:p>
          <w:p w14:paraId="7C9D0DD2" w14:textId="77777777" w:rsidR="00AB39B3" w:rsidRPr="00AB39B3" w:rsidRDefault="00AB39B3" w:rsidP="00AB39B3">
            <w:pPr>
              <w:rPr>
                <w:rFonts w:asciiTheme="minorBidi" w:hAnsiTheme="minorBidi" w:cstheme="minorBidi"/>
              </w:rPr>
            </w:pPr>
          </w:p>
          <w:p w14:paraId="30283696" w14:textId="77777777" w:rsidR="00AB39B3" w:rsidRPr="00AB39B3" w:rsidRDefault="00AB39B3" w:rsidP="00AB39B3">
            <w:pPr>
              <w:rPr>
                <w:rFonts w:asciiTheme="minorBidi" w:hAnsiTheme="minorBidi" w:cstheme="minorBidi"/>
              </w:rPr>
            </w:pPr>
            <w:r w:rsidRPr="00AB39B3">
              <w:rPr>
                <w:rFonts w:asciiTheme="minorBidi" w:hAnsiTheme="minorBidi" w:cstheme="minorBidi"/>
              </w:rPr>
              <w:t>Key evidence missing:</w:t>
            </w:r>
          </w:p>
          <w:p w14:paraId="11C2F7BB" w14:textId="77777777" w:rsidR="00AB39B3" w:rsidRPr="00AB39B3" w:rsidRDefault="00AB39B3" w:rsidP="00AB39B3">
            <w:pPr>
              <w:pStyle w:val="ListParagraph"/>
              <w:numPr>
                <w:ilvl w:val="0"/>
                <w:numId w:val="2"/>
              </w:numPr>
              <w:contextualSpacing/>
              <w:rPr>
                <w:rFonts w:asciiTheme="minorBidi" w:hAnsiTheme="minorBidi" w:cstheme="minorBidi"/>
              </w:rPr>
            </w:pPr>
            <w:r w:rsidRPr="00AB39B3">
              <w:rPr>
                <w:rFonts w:asciiTheme="minorBidi" w:hAnsiTheme="minorBidi" w:cstheme="minorBidi"/>
              </w:rPr>
              <w:t>There are currently differences in access to specific facilities and amenities within Scotland; 91% of Scottish residential locations have access to at least one public transport stop and 84% a public open space. There was poorer access to primary care services (42%) and healthy food retailers (50%).</w:t>
            </w:r>
          </w:p>
          <w:p w14:paraId="7FA66F3C" w14:textId="77777777" w:rsidR="00AB39B3" w:rsidRPr="00AB39B3" w:rsidRDefault="00AB39B3" w:rsidP="00AB39B3">
            <w:pPr>
              <w:pStyle w:val="ListParagraph"/>
              <w:numPr>
                <w:ilvl w:val="0"/>
                <w:numId w:val="2"/>
              </w:numPr>
              <w:contextualSpacing/>
              <w:rPr>
                <w:rFonts w:asciiTheme="minorBidi" w:hAnsiTheme="minorBidi" w:cstheme="minorBidi"/>
              </w:rPr>
            </w:pPr>
            <w:r w:rsidRPr="00AB39B3">
              <w:rPr>
                <w:rFonts w:asciiTheme="minorBidi" w:hAnsiTheme="minorBidi" w:cstheme="minorBidi"/>
              </w:rPr>
              <w:t>The quality of facilities and amenities is important to measure, this is currently difficult to explore using national comparative data.</w:t>
            </w:r>
          </w:p>
          <w:p w14:paraId="2F065ABE" w14:textId="77777777" w:rsidR="00AB39B3" w:rsidRPr="00AB39B3" w:rsidRDefault="00AB39B3" w:rsidP="00AB39B3">
            <w:pPr>
              <w:pStyle w:val="ListParagraph"/>
              <w:numPr>
                <w:ilvl w:val="0"/>
                <w:numId w:val="2"/>
              </w:numPr>
              <w:contextualSpacing/>
              <w:rPr>
                <w:rFonts w:asciiTheme="minorBidi" w:hAnsiTheme="minorBidi" w:cstheme="minorBidi"/>
              </w:rPr>
            </w:pPr>
            <w:r w:rsidRPr="00AB39B3">
              <w:rPr>
                <w:rFonts w:asciiTheme="minorBidi" w:hAnsiTheme="minorBidi" w:cstheme="minorBidi"/>
              </w:rPr>
              <w:t xml:space="preserve">Access to facilities and amenities is greatest in areas where individual health status tends to be worse. This highlights that focusing solely on improving access to key facilities and amenities for deprived areas may be ineffective in reducing health </w:t>
            </w:r>
            <w:r w:rsidRPr="00AB39B3">
              <w:rPr>
                <w:rFonts w:asciiTheme="minorBidi" w:hAnsiTheme="minorBidi" w:cstheme="minorBidi"/>
              </w:rPr>
              <w:lastRenderedPageBreak/>
              <w:t xml:space="preserve">inequalities, as evidence shows these areas already have good access to a range of local living amenities. However, the quality of the facilities within areas, combined with the needs of local population must be considered. </w:t>
            </w:r>
          </w:p>
          <w:p w14:paraId="21D3EDF0" w14:textId="77777777" w:rsidR="00AB39B3" w:rsidRPr="00AB39B3" w:rsidRDefault="00AB39B3" w:rsidP="00AB39B3">
            <w:pPr>
              <w:pStyle w:val="ListParagraph"/>
              <w:numPr>
                <w:ilvl w:val="0"/>
                <w:numId w:val="2"/>
              </w:numPr>
              <w:contextualSpacing/>
              <w:rPr>
                <w:rFonts w:asciiTheme="minorBidi" w:hAnsiTheme="minorBidi" w:cstheme="minorBidi"/>
              </w:rPr>
            </w:pPr>
            <w:r w:rsidRPr="00AB39B3">
              <w:rPr>
                <w:rFonts w:asciiTheme="minorBidi" w:hAnsiTheme="minorBidi" w:cstheme="minorBidi"/>
              </w:rPr>
              <w:t>Evidence suggests there is a co-location of health benefiting and health damaging facilities within 20-minute neighbourhoods.</w:t>
            </w:r>
          </w:p>
          <w:p w14:paraId="5A5BCB88" w14:textId="77777777" w:rsidR="00AB39B3" w:rsidRPr="00AB39B3" w:rsidRDefault="00AB39B3" w:rsidP="00AB39B3">
            <w:pPr>
              <w:rPr>
                <w:rFonts w:asciiTheme="minorBidi" w:hAnsiTheme="minorBidi" w:cstheme="minorBidi"/>
              </w:rPr>
            </w:pPr>
          </w:p>
          <w:p w14:paraId="0E9BF4DB" w14:textId="26126581" w:rsidR="00AB39B3" w:rsidRPr="00AB39B3" w:rsidRDefault="00AB39B3" w:rsidP="00AB39B3">
            <w:pPr>
              <w:rPr>
                <w:rFonts w:asciiTheme="minorBidi" w:hAnsiTheme="minorBidi" w:cstheme="minorBidi"/>
              </w:rPr>
            </w:pPr>
            <w:r w:rsidRPr="00AB39B3">
              <w:rPr>
                <w:rFonts w:asciiTheme="minorBidi" w:hAnsiTheme="minorBidi" w:cstheme="minorBidi"/>
              </w:rPr>
              <w:t xml:space="preserve">These were reported in the academic publication: Olsen, Jonathan R., et al. "Nationwide equity assessment of the 20-min neighbourhood in the Scottish context: A socio-spatial proximity analysis of residential locations." Social Science &amp; Medicine 315 (2022): 115502. </w:t>
            </w:r>
            <w:hyperlink r:id="rId8" w:history="1">
              <w:r w:rsidRPr="00AB39B3">
                <w:rPr>
                  <w:rStyle w:val="Hyperlink"/>
                  <w:rFonts w:asciiTheme="minorBidi" w:hAnsiTheme="minorBidi" w:cstheme="minorBidi"/>
                </w:rPr>
                <w:t>https://doi.org/10.1016/j.socscimed.2022.115502</w:t>
              </w:r>
            </w:hyperlink>
            <w:r w:rsidRPr="00AB39B3">
              <w:rPr>
                <w:rFonts w:asciiTheme="minorBidi" w:hAnsiTheme="minorBidi" w:cstheme="minorBidi"/>
              </w:rPr>
              <w:t xml:space="preserve"> </w:t>
            </w:r>
          </w:p>
          <w:p w14:paraId="37BCC2F0" w14:textId="77777777" w:rsidR="00AB39B3" w:rsidRPr="00AB39B3" w:rsidRDefault="00AB39B3" w:rsidP="00AB39B3">
            <w:pPr>
              <w:rPr>
                <w:rFonts w:asciiTheme="minorBidi" w:hAnsiTheme="minorBidi" w:cstheme="minorBidi"/>
              </w:rPr>
            </w:pPr>
          </w:p>
          <w:p w14:paraId="1563D28E" w14:textId="77777777" w:rsidR="00AB39B3" w:rsidRPr="00AB39B3" w:rsidRDefault="00AB39B3" w:rsidP="00AB39B3">
            <w:pPr>
              <w:rPr>
                <w:rFonts w:asciiTheme="minorBidi" w:hAnsiTheme="minorBidi" w:cstheme="minorBidi"/>
              </w:rPr>
            </w:pPr>
          </w:p>
          <w:p w14:paraId="056BD322" w14:textId="77777777" w:rsidR="00AB39B3" w:rsidRPr="00AB39B3" w:rsidRDefault="00AB39B3" w:rsidP="00AB39B3">
            <w:pPr>
              <w:rPr>
                <w:rFonts w:asciiTheme="minorBidi" w:hAnsiTheme="minorBidi" w:cstheme="minorBidi"/>
                <w:b/>
                <w:bCs/>
                <w:i/>
                <w:iCs/>
              </w:rPr>
            </w:pPr>
            <w:r w:rsidRPr="00AB39B3">
              <w:rPr>
                <w:rFonts w:asciiTheme="minorBidi" w:hAnsiTheme="minorBidi" w:cstheme="minorBidi"/>
                <w:b/>
                <w:bCs/>
                <w:i/>
                <w:iCs/>
              </w:rPr>
              <w:t xml:space="preserve">Question 2: How helpful is the framework diagram in encouraging flexible, place-based approaches to support local living? </w:t>
            </w:r>
          </w:p>
          <w:p w14:paraId="148F735B" w14:textId="77777777" w:rsidR="00AB39B3" w:rsidRPr="00AB39B3" w:rsidRDefault="00AB39B3" w:rsidP="00AB39B3">
            <w:pPr>
              <w:rPr>
                <w:rFonts w:asciiTheme="minorBidi" w:hAnsiTheme="minorBidi" w:cstheme="minorBidi"/>
                <w:i/>
                <w:iCs/>
              </w:rPr>
            </w:pPr>
          </w:p>
          <w:p w14:paraId="312C7948" w14:textId="3C3A32AE" w:rsidR="00AB39B3" w:rsidRPr="00AB39B3" w:rsidRDefault="00AB39B3" w:rsidP="00AB39B3">
            <w:pPr>
              <w:rPr>
                <w:rFonts w:asciiTheme="minorBidi" w:hAnsiTheme="minorBidi" w:cstheme="minorBidi"/>
              </w:rPr>
            </w:pPr>
            <w:r w:rsidRPr="00AB39B3">
              <w:rPr>
                <w:rFonts w:asciiTheme="minorBidi" w:hAnsiTheme="minorBidi" w:cstheme="minorBidi"/>
              </w:rPr>
              <w:t>Somewhat helpful.</w:t>
            </w:r>
          </w:p>
          <w:p w14:paraId="2BF66EED" w14:textId="77777777" w:rsidR="00AB39B3" w:rsidRPr="00AB39B3" w:rsidRDefault="00AB39B3" w:rsidP="00AB39B3">
            <w:pPr>
              <w:rPr>
                <w:rFonts w:asciiTheme="minorBidi" w:hAnsiTheme="minorBidi" w:cstheme="minorBidi"/>
              </w:rPr>
            </w:pPr>
          </w:p>
          <w:p w14:paraId="4AE882D4" w14:textId="77777777" w:rsidR="00AB39B3" w:rsidRPr="00AB39B3" w:rsidRDefault="00AB39B3" w:rsidP="00AB39B3">
            <w:pPr>
              <w:rPr>
                <w:rFonts w:asciiTheme="minorBidi" w:hAnsiTheme="minorBidi" w:cstheme="minorBidi"/>
              </w:rPr>
            </w:pPr>
            <w:r w:rsidRPr="00AB39B3">
              <w:rPr>
                <w:rFonts w:asciiTheme="minorBidi" w:hAnsiTheme="minorBidi" w:cstheme="minorBidi"/>
              </w:rPr>
              <w:t xml:space="preserve">The framework presents a large and substantial list of key domains that are important to support place-based approaches to support local living. However, the framework does not highlight key/directional pathways or domains that are most important for improving health and decreasing health inequalities, which is one of the main outcomes described in section 1. </w:t>
            </w:r>
          </w:p>
          <w:p w14:paraId="12CBFF4D" w14:textId="77777777" w:rsidR="00AB39B3" w:rsidRPr="00AB39B3" w:rsidRDefault="00AB39B3" w:rsidP="00AB39B3">
            <w:pPr>
              <w:rPr>
                <w:rFonts w:asciiTheme="minorBidi" w:hAnsiTheme="minorBidi" w:cstheme="minorBidi"/>
              </w:rPr>
            </w:pPr>
          </w:p>
          <w:p w14:paraId="58E13B55" w14:textId="54EFE90A" w:rsidR="00AB39B3" w:rsidRPr="00AB39B3" w:rsidRDefault="00AB39B3" w:rsidP="00AB39B3">
            <w:pPr>
              <w:rPr>
                <w:rFonts w:asciiTheme="minorBidi" w:hAnsiTheme="minorBidi" w:cstheme="minorBidi"/>
              </w:rPr>
            </w:pPr>
            <w:r w:rsidRPr="00AB39B3">
              <w:rPr>
                <w:rFonts w:asciiTheme="minorBidi" w:hAnsiTheme="minorBidi" w:cstheme="minorBidi"/>
              </w:rPr>
              <w:t>These directional pathways, or appreciation of the</w:t>
            </w:r>
            <w:r w:rsidRPr="00AB39B3">
              <w:rPr>
                <w:rFonts w:asciiTheme="minorBidi" w:eastAsia="Calibri" w:hAnsiTheme="minorBidi" w:cstheme="minorBidi"/>
              </w:rPr>
              <w:t xml:space="preserve"> envisioned causal chain (</w:t>
            </w:r>
            <w:proofErr w:type="gramStart"/>
            <w:r w:rsidRPr="00AB39B3">
              <w:rPr>
                <w:rFonts w:asciiTheme="minorBidi" w:eastAsia="Calibri" w:hAnsiTheme="minorBidi" w:cstheme="minorBidi"/>
              </w:rPr>
              <w:t>i.e.</w:t>
            </w:r>
            <w:proofErr w:type="gramEnd"/>
            <w:r w:rsidRPr="00AB39B3">
              <w:rPr>
                <w:rFonts w:asciiTheme="minorBidi" w:eastAsia="Calibri" w:hAnsiTheme="minorBidi" w:cstheme="minorBidi"/>
              </w:rPr>
              <w:t xml:space="preserve"> how improving access to one or multiple domains would improve health),</w:t>
            </w:r>
            <w:r w:rsidRPr="00AB39B3">
              <w:rPr>
                <w:rFonts w:asciiTheme="minorBidi" w:hAnsiTheme="minorBidi" w:cstheme="minorBidi"/>
              </w:rPr>
              <w:t xml:space="preserve"> are unlikely to be well represented by a circular framework. In the current framework, for instance, ‘feeling safe’, ‘identity and belonging’, ‘social interaction’ and other domains might be impacted themselves by domains which currently sit alongside, such as improvements to ‘work and local economy’, ‘support and services’, etc. The mixing of (intermediate) outcomes and potential policy levers alongside each other is unlikely to be useful for implementation purposes (some domains and levers can be controlled much more directly than others). </w:t>
            </w:r>
          </w:p>
          <w:p w14:paraId="2A3E09AB" w14:textId="77777777" w:rsidR="00AB39B3" w:rsidRPr="00AB39B3" w:rsidRDefault="00AB39B3" w:rsidP="00AB39B3">
            <w:pPr>
              <w:rPr>
                <w:rFonts w:asciiTheme="minorBidi" w:hAnsiTheme="minorBidi" w:cstheme="minorBidi"/>
              </w:rPr>
            </w:pPr>
          </w:p>
          <w:p w14:paraId="38CAFF8B" w14:textId="17681764" w:rsidR="00AB39B3" w:rsidRDefault="00AB39B3" w:rsidP="00AB39B3">
            <w:pPr>
              <w:rPr>
                <w:rFonts w:asciiTheme="minorBidi" w:hAnsiTheme="minorBidi" w:cstheme="minorBidi"/>
              </w:rPr>
            </w:pPr>
            <w:r w:rsidRPr="00AB39B3">
              <w:rPr>
                <w:rFonts w:asciiTheme="minorBidi" w:hAnsiTheme="minorBidi" w:cstheme="minorBidi"/>
              </w:rPr>
              <w:t>We are currently conducting a scoping review</w:t>
            </w:r>
            <w:r>
              <w:rPr>
                <w:rFonts w:asciiTheme="minorBidi" w:hAnsiTheme="minorBidi" w:cstheme="minorBidi"/>
              </w:rPr>
              <w:t xml:space="preserve"> </w:t>
            </w:r>
            <w:r w:rsidRPr="00AB39B3">
              <w:rPr>
                <w:rFonts w:asciiTheme="minorBidi" w:hAnsiTheme="minorBidi" w:cstheme="minorBidi"/>
              </w:rPr>
              <w:t>(</w:t>
            </w:r>
            <w:hyperlink r:id="rId9" w:history="1">
              <w:r w:rsidRPr="00AB39B3">
                <w:rPr>
                  <w:rStyle w:val="Hyperlink"/>
                  <w:rFonts w:asciiTheme="minorBidi" w:hAnsiTheme="minorBidi" w:cstheme="minorBidi"/>
                </w:rPr>
                <w:t>https://doi.org/10.6084/m9.figshare.21897411.v1</w:t>
              </w:r>
            </w:hyperlink>
            <w:r w:rsidRPr="00AB39B3">
              <w:rPr>
                <w:rFonts w:asciiTheme="minorBidi" w:hAnsiTheme="minorBidi" w:cstheme="minorBidi"/>
              </w:rPr>
              <w:t>) to examine the international evidence on proposed pathways between implementation of 20 minute neighbourhoods (and similar neighbourhood and city-based models) and health as well as health inequality outcomes. Our preliminary findings indicate:</w:t>
            </w:r>
          </w:p>
          <w:p w14:paraId="223D36A2" w14:textId="77777777" w:rsidR="00AB39B3" w:rsidRPr="00AB39B3" w:rsidRDefault="00AB39B3" w:rsidP="00AB39B3">
            <w:pPr>
              <w:rPr>
                <w:rFonts w:asciiTheme="minorBidi" w:hAnsiTheme="minorBidi" w:cstheme="minorBidi"/>
              </w:rPr>
            </w:pPr>
          </w:p>
          <w:p w14:paraId="5EBA46FE" w14:textId="77777777" w:rsidR="00AB39B3" w:rsidRPr="00AB39B3" w:rsidRDefault="00AB39B3" w:rsidP="00AB39B3">
            <w:pPr>
              <w:pStyle w:val="ListParagraph"/>
              <w:numPr>
                <w:ilvl w:val="0"/>
                <w:numId w:val="3"/>
              </w:numPr>
              <w:contextualSpacing/>
              <w:rPr>
                <w:rFonts w:asciiTheme="minorBidi" w:hAnsiTheme="minorBidi" w:cstheme="minorBidi"/>
              </w:rPr>
            </w:pPr>
            <w:r w:rsidRPr="00AB39B3">
              <w:rPr>
                <w:rFonts w:asciiTheme="minorBidi" w:hAnsiTheme="minorBidi" w:cstheme="minorBidi"/>
              </w:rPr>
              <w:t xml:space="preserve">Ways to implement 20-minute neighbourhoods are vast and varied, likely with different levels of effectiveness </w:t>
            </w:r>
            <w:r w:rsidRPr="00AB39B3">
              <w:rPr>
                <w:rFonts w:asciiTheme="minorBidi" w:eastAsia="Calibri" w:hAnsiTheme="minorBidi" w:cstheme="minorBidi"/>
              </w:rPr>
              <w:t>on</w:t>
            </w:r>
            <w:r w:rsidRPr="00AB39B3">
              <w:rPr>
                <w:rFonts w:asciiTheme="minorBidi" w:hAnsiTheme="minorBidi" w:cstheme="minorBidi"/>
              </w:rPr>
              <w:t xml:space="preserve"> (and potential trade-offs between) outcomes of interest. However, a lack of detailed pathways between intervention components, their envisioned impacts on social determinants of health, health, and health inequality outcomes is currently common to the international literature. Especially the reduction of health inequalities, while often mentioned as a beneficial outcome, is often referenced without a clear description of how and which aspects of it will be addressed by the plan's implementation. Cities further ahead in piloting implementation, such as Melbourne, emphasise that implementation is a long-term, slow, commitment, likely to require continued investment and engagement. (Reference to Melbourne City Plan: </w:t>
            </w:r>
            <w:hyperlink r:id="rId10">
              <w:r w:rsidRPr="00AB39B3">
                <w:rPr>
                  <w:rStyle w:val="cf01"/>
                  <w:rFonts w:asciiTheme="minorBidi" w:hAnsiTheme="minorBidi" w:cstheme="minorBidi"/>
                  <w:color w:val="0000FF"/>
                  <w:sz w:val="22"/>
                  <w:szCs w:val="22"/>
                  <w:u w:val="single"/>
                </w:rPr>
                <w:t>https://www.planmelbourne.vic.gov.au/__data/assets/pdf_file/0018/515241/Creating-a-more-liveable-Melbourne.pdf</w:t>
              </w:r>
            </w:hyperlink>
            <w:r w:rsidRPr="00AB39B3">
              <w:rPr>
                <w:rFonts w:asciiTheme="minorBidi" w:hAnsiTheme="minorBidi" w:cstheme="minorBidi"/>
              </w:rPr>
              <w:t>)</w:t>
            </w:r>
          </w:p>
          <w:p w14:paraId="17211704" w14:textId="71549B77" w:rsidR="00AB39B3" w:rsidRPr="00AB39B3" w:rsidRDefault="00AB39B3" w:rsidP="00AB39B3">
            <w:pPr>
              <w:pStyle w:val="ListParagraph"/>
              <w:numPr>
                <w:ilvl w:val="0"/>
                <w:numId w:val="3"/>
              </w:numPr>
              <w:contextualSpacing/>
              <w:rPr>
                <w:rFonts w:asciiTheme="minorBidi" w:hAnsiTheme="minorBidi" w:cstheme="minorBidi"/>
              </w:rPr>
            </w:pPr>
            <w:r w:rsidRPr="00AB39B3">
              <w:rPr>
                <w:rFonts w:asciiTheme="minorBidi" w:hAnsiTheme="minorBidi" w:cstheme="minorBidi"/>
              </w:rPr>
              <w:t xml:space="preserve">Empirical evidence supporting any specific pathways that were outlined generally appears to be lacking (at least within publicly available planning documents). Even more </w:t>
            </w:r>
            <w:r w:rsidRPr="00AB39B3">
              <w:rPr>
                <w:rFonts w:asciiTheme="minorBidi" w:hAnsiTheme="minorBidi" w:cstheme="minorBidi"/>
              </w:rPr>
              <w:lastRenderedPageBreak/>
              <w:t xml:space="preserve">straightforward pathways, such as increased proximity to services -&gt; decreased car use -&gt; increased physical activity and decreased pollution, should not necessarily be assumed as causal without this evidence to substantiate and often lack more direct descriptions of how they will be achieved through the proposed model. For example, data from the Scottish Household Survey show that during 2019 the majority of car journeys travelled were short; 17% were under 1km, and almost a third under 2km. </w:t>
            </w:r>
            <w:hyperlink r:id="rId11" w:history="1">
              <w:r w:rsidRPr="00AB39B3">
                <w:rPr>
                  <w:rStyle w:val="Hyperlink"/>
                  <w:rFonts w:asciiTheme="minorBidi" w:hAnsiTheme="minorBidi" w:cstheme="minorBidi"/>
                </w:rPr>
                <w:t>https://www.transport.gov.scot/media/48317/sct09201490081.pdf</w:t>
              </w:r>
            </w:hyperlink>
            <w:r w:rsidRPr="00AB39B3">
              <w:rPr>
                <w:rFonts w:asciiTheme="minorBidi" w:hAnsiTheme="minorBidi" w:cstheme="minorBidi"/>
              </w:rPr>
              <w:t xml:space="preserve">  </w:t>
            </w:r>
          </w:p>
          <w:p w14:paraId="7014B801" w14:textId="77777777" w:rsidR="00AB39B3" w:rsidRPr="00AB39B3" w:rsidRDefault="00AB39B3" w:rsidP="00AB39B3">
            <w:pPr>
              <w:pStyle w:val="ListParagraph"/>
              <w:numPr>
                <w:ilvl w:val="0"/>
                <w:numId w:val="3"/>
              </w:numPr>
              <w:contextualSpacing/>
              <w:rPr>
                <w:rFonts w:asciiTheme="minorBidi" w:hAnsiTheme="minorBidi" w:cstheme="minorBidi"/>
              </w:rPr>
            </w:pPr>
            <w:r w:rsidRPr="00AB39B3">
              <w:rPr>
                <w:rFonts w:asciiTheme="minorBidi" w:hAnsiTheme="minorBidi" w:cstheme="minorBidi"/>
              </w:rPr>
              <w:t xml:space="preserve">Some implementation plans, which appear to have thought through the pathways in more detail, also speculate on potential unintended negative consequences of 20-minute neighbourhoods on health inequalities. </w:t>
            </w:r>
            <w:proofErr w:type="gramStart"/>
            <w:r w:rsidRPr="00AB39B3">
              <w:rPr>
                <w:rFonts w:asciiTheme="minorBidi" w:hAnsiTheme="minorBidi" w:cstheme="minorBidi"/>
              </w:rPr>
              <w:t>In particular, they</w:t>
            </w:r>
            <w:proofErr w:type="gramEnd"/>
            <w:r w:rsidRPr="00AB39B3">
              <w:rPr>
                <w:rFonts w:asciiTheme="minorBidi" w:hAnsiTheme="minorBidi" w:cstheme="minorBidi"/>
              </w:rPr>
              <w:t xml:space="preserve"> draw attention to the possibility for local (house and service) price increases as some areas are improved more quickly or successfully than others over the implementation period. Specifically, that any upsides are likely to fall to current owners of property and assets, and cost increases to prospective purchasers or renters. This could lead to </w:t>
            </w:r>
            <w:r w:rsidRPr="00AB39B3">
              <w:rPr>
                <w:rFonts w:asciiTheme="minorBidi" w:eastAsia="Calibri" w:hAnsiTheme="minorBidi" w:cstheme="minorBidi"/>
              </w:rPr>
              <w:t>gentrification,</w:t>
            </w:r>
            <w:r w:rsidRPr="00AB39B3">
              <w:rPr>
                <w:rFonts w:asciiTheme="minorBidi" w:hAnsiTheme="minorBidi" w:cstheme="minorBidi"/>
              </w:rPr>
              <w:t xml:space="preserve"> community displacement, and decreased diversity.</w:t>
            </w:r>
          </w:p>
          <w:p w14:paraId="1995BD2F" w14:textId="77777777" w:rsidR="00AB39B3" w:rsidRPr="00AB39B3" w:rsidRDefault="00AB39B3" w:rsidP="00AB39B3">
            <w:pPr>
              <w:rPr>
                <w:rFonts w:asciiTheme="minorBidi" w:hAnsiTheme="minorBidi" w:cstheme="minorBidi"/>
              </w:rPr>
            </w:pPr>
          </w:p>
          <w:p w14:paraId="28F9E842" w14:textId="77777777" w:rsidR="00AB39B3" w:rsidRPr="00AB39B3" w:rsidRDefault="00AB39B3" w:rsidP="00AB39B3">
            <w:pPr>
              <w:rPr>
                <w:rFonts w:asciiTheme="minorBidi" w:hAnsiTheme="minorBidi" w:cstheme="minorBidi"/>
              </w:rPr>
            </w:pPr>
            <w:r w:rsidRPr="00AB39B3">
              <w:rPr>
                <w:rFonts w:asciiTheme="minorBidi" w:hAnsiTheme="minorBidi" w:cstheme="minorBidi"/>
              </w:rPr>
              <w:t>This suggests that:</w:t>
            </w:r>
          </w:p>
          <w:p w14:paraId="4D9DA732" w14:textId="77777777" w:rsidR="00AB39B3" w:rsidRPr="00AB39B3" w:rsidRDefault="00AB39B3" w:rsidP="00AB39B3">
            <w:pPr>
              <w:rPr>
                <w:rFonts w:asciiTheme="minorBidi" w:hAnsiTheme="minorBidi" w:cstheme="minorBidi"/>
              </w:rPr>
            </w:pPr>
          </w:p>
          <w:p w14:paraId="164FEDB1" w14:textId="77777777" w:rsidR="00AB39B3" w:rsidRPr="00AB39B3" w:rsidRDefault="00AB39B3" w:rsidP="00AB39B3">
            <w:pPr>
              <w:pStyle w:val="ListParagraph"/>
              <w:numPr>
                <w:ilvl w:val="0"/>
                <w:numId w:val="4"/>
              </w:numPr>
              <w:contextualSpacing/>
              <w:rPr>
                <w:rFonts w:asciiTheme="minorBidi" w:hAnsiTheme="minorBidi" w:cstheme="minorBidi"/>
              </w:rPr>
            </w:pPr>
            <w:r w:rsidRPr="00AB39B3">
              <w:rPr>
                <w:rFonts w:asciiTheme="minorBidi" w:hAnsiTheme="minorBidi" w:cstheme="minorBidi"/>
              </w:rPr>
              <w:t>The specific policy levers and interventions that local policymakers can control will matter for implementation and outcomes achieved. This specificity should be a focus for frameworks interested in implementation advice and concrete evidence-based links should be drawn between elements of the proposed plan and potential health outcomes.</w:t>
            </w:r>
          </w:p>
          <w:p w14:paraId="135E5E3E" w14:textId="77777777" w:rsidR="00AB39B3" w:rsidRPr="00AB39B3" w:rsidRDefault="00AB39B3" w:rsidP="00AB39B3">
            <w:pPr>
              <w:pStyle w:val="ListParagraph"/>
              <w:numPr>
                <w:ilvl w:val="0"/>
                <w:numId w:val="4"/>
              </w:numPr>
              <w:contextualSpacing/>
              <w:rPr>
                <w:rFonts w:asciiTheme="minorBidi" w:hAnsiTheme="minorBidi" w:cstheme="minorBidi"/>
              </w:rPr>
            </w:pPr>
            <w:r w:rsidRPr="00AB39B3">
              <w:rPr>
                <w:rFonts w:asciiTheme="minorBidi" w:hAnsiTheme="minorBidi" w:cstheme="minorBidi"/>
              </w:rPr>
              <w:t>Continued monitoring and research will be required as models are rolled-out, particularly attention paid to possible negative unintended effects on health inequalities. Data to record who benefits and loses will need to be planned early and is not necessarily straightforward since people (and businesses providing services and jobs) are not fixed in place and can move over time – requiring individual-level (and specific service) data.</w:t>
            </w:r>
          </w:p>
          <w:p w14:paraId="053D822B" w14:textId="77777777" w:rsidR="00AB39B3" w:rsidRPr="00AB39B3" w:rsidRDefault="00AB39B3" w:rsidP="00AB39B3">
            <w:pPr>
              <w:rPr>
                <w:rFonts w:asciiTheme="minorBidi" w:hAnsiTheme="minorBidi" w:cstheme="minorBidi"/>
              </w:rPr>
            </w:pPr>
          </w:p>
          <w:p w14:paraId="4910B47E" w14:textId="77777777" w:rsidR="00AB39B3" w:rsidRPr="00AB39B3" w:rsidRDefault="00AB39B3" w:rsidP="00AB39B3">
            <w:pPr>
              <w:rPr>
                <w:rFonts w:asciiTheme="minorBidi" w:hAnsiTheme="minorBidi" w:cstheme="minorBidi"/>
                <w:b/>
                <w:bCs/>
                <w:i/>
                <w:iCs/>
              </w:rPr>
            </w:pPr>
            <w:r w:rsidRPr="00AB39B3">
              <w:rPr>
                <w:rFonts w:asciiTheme="minorBidi" w:hAnsiTheme="minorBidi" w:cstheme="minorBidi"/>
                <w:b/>
                <w:bCs/>
                <w:i/>
                <w:iCs/>
              </w:rPr>
              <w:t>Question 3:</w:t>
            </w:r>
            <w:r w:rsidRPr="00AB39B3">
              <w:rPr>
                <w:rFonts w:asciiTheme="minorBidi" w:hAnsiTheme="minorBidi" w:cstheme="minorBidi"/>
              </w:rPr>
              <w:t xml:space="preserve"> </w:t>
            </w:r>
            <w:r w:rsidRPr="00AB39B3">
              <w:rPr>
                <w:rFonts w:asciiTheme="minorBidi" w:hAnsiTheme="minorBidi" w:cstheme="minorBidi"/>
                <w:b/>
                <w:bCs/>
                <w:i/>
                <w:iCs/>
              </w:rPr>
              <w:t xml:space="preserve">Looking at part 2 of the draft guidance: how helpful are the 'categories' and ‘key considerations for local living’ that are captured within this part of the document? </w:t>
            </w:r>
          </w:p>
          <w:p w14:paraId="20E92888" w14:textId="77777777" w:rsidR="00AB39B3" w:rsidRPr="00AB39B3" w:rsidRDefault="00AB39B3" w:rsidP="00AB39B3">
            <w:pPr>
              <w:rPr>
                <w:rFonts w:asciiTheme="minorBidi" w:hAnsiTheme="minorBidi" w:cstheme="minorBidi"/>
                <w:b/>
                <w:bCs/>
                <w:i/>
                <w:iCs/>
              </w:rPr>
            </w:pPr>
          </w:p>
          <w:p w14:paraId="2BC4B7C8" w14:textId="77777777" w:rsidR="00AB39B3" w:rsidRPr="00AB39B3" w:rsidRDefault="00AB39B3" w:rsidP="00AB39B3">
            <w:pPr>
              <w:rPr>
                <w:rFonts w:asciiTheme="minorBidi" w:hAnsiTheme="minorBidi" w:cstheme="minorBidi"/>
              </w:rPr>
            </w:pPr>
            <w:r w:rsidRPr="00AB39B3">
              <w:rPr>
                <w:rFonts w:asciiTheme="minorBidi" w:hAnsiTheme="minorBidi" w:cstheme="minorBidi"/>
              </w:rPr>
              <w:t>No response.</w:t>
            </w:r>
          </w:p>
          <w:p w14:paraId="34CB4D59" w14:textId="77777777" w:rsidR="00AB39B3" w:rsidRPr="00AB39B3" w:rsidRDefault="00AB39B3" w:rsidP="00AB39B3">
            <w:pPr>
              <w:rPr>
                <w:rFonts w:asciiTheme="minorBidi" w:hAnsiTheme="minorBidi" w:cstheme="minorBidi"/>
              </w:rPr>
            </w:pPr>
          </w:p>
          <w:p w14:paraId="76631310" w14:textId="77777777" w:rsidR="00AB39B3" w:rsidRPr="00AB39B3" w:rsidRDefault="00AB39B3" w:rsidP="00AB39B3">
            <w:pPr>
              <w:rPr>
                <w:rFonts w:asciiTheme="minorBidi" w:hAnsiTheme="minorBidi" w:cstheme="minorBidi"/>
                <w:b/>
                <w:bCs/>
                <w:i/>
                <w:iCs/>
              </w:rPr>
            </w:pPr>
            <w:r w:rsidRPr="00AB39B3">
              <w:rPr>
                <w:rFonts w:asciiTheme="minorBidi" w:hAnsiTheme="minorBidi" w:cstheme="minorBidi"/>
                <w:b/>
                <w:bCs/>
                <w:i/>
                <w:iCs/>
              </w:rPr>
              <w:t>Question 4:</w:t>
            </w:r>
            <w:r w:rsidRPr="00AB39B3">
              <w:rPr>
                <w:rFonts w:asciiTheme="minorBidi" w:hAnsiTheme="minorBidi" w:cstheme="minorBidi"/>
              </w:rPr>
              <w:t xml:space="preserve"> </w:t>
            </w:r>
            <w:r w:rsidRPr="00AB39B3">
              <w:rPr>
                <w:rFonts w:asciiTheme="minorBidi" w:hAnsiTheme="minorBidi" w:cstheme="minorBidi"/>
                <w:b/>
                <w:bCs/>
                <w:i/>
                <w:iCs/>
              </w:rPr>
              <w:t>How helpful is the proposed 'structured approach' for use?</w:t>
            </w:r>
          </w:p>
          <w:p w14:paraId="51DF54CE" w14:textId="77777777" w:rsidR="00AB39B3" w:rsidRPr="00AB39B3" w:rsidRDefault="00AB39B3" w:rsidP="00AB39B3">
            <w:pPr>
              <w:rPr>
                <w:rFonts w:asciiTheme="minorBidi" w:hAnsiTheme="minorBidi" w:cstheme="minorBidi"/>
                <w:b/>
                <w:bCs/>
                <w:i/>
                <w:iCs/>
              </w:rPr>
            </w:pPr>
          </w:p>
          <w:p w14:paraId="7FC556BF" w14:textId="77777777" w:rsidR="00AB39B3" w:rsidRPr="00AB39B3" w:rsidRDefault="00AB39B3" w:rsidP="00AB39B3">
            <w:pPr>
              <w:rPr>
                <w:rFonts w:asciiTheme="minorBidi" w:hAnsiTheme="minorBidi" w:cstheme="minorBidi"/>
              </w:rPr>
            </w:pPr>
            <w:r w:rsidRPr="00AB39B3">
              <w:rPr>
                <w:rFonts w:asciiTheme="minorBidi" w:hAnsiTheme="minorBidi" w:cstheme="minorBidi"/>
              </w:rPr>
              <w:t>No response.</w:t>
            </w:r>
          </w:p>
          <w:p w14:paraId="509DDD83" w14:textId="77777777" w:rsidR="00AB39B3" w:rsidRDefault="00AB39B3" w:rsidP="00AB39B3"/>
          <w:p w14:paraId="2D9C9A16" w14:textId="77777777" w:rsidR="00AB39B3" w:rsidRPr="00AB39B3" w:rsidRDefault="00AB39B3" w:rsidP="00AB39B3">
            <w:pPr>
              <w:rPr>
                <w:rFonts w:asciiTheme="minorBidi" w:hAnsiTheme="minorBidi" w:cstheme="minorBidi"/>
                <w:b/>
                <w:bCs/>
                <w:i/>
                <w:iCs/>
              </w:rPr>
            </w:pPr>
            <w:r w:rsidRPr="00AB39B3">
              <w:rPr>
                <w:rFonts w:asciiTheme="minorBidi" w:hAnsiTheme="minorBidi" w:cstheme="minorBidi"/>
                <w:b/>
                <w:bCs/>
                <w:i/>
                <w:iCs/>
              </w:rPr>
              <w:t>Question 5: Does part 3 of the guidance clearly communicate the importance of both qualitative and quantitative data in establishing a baseline for a place?</w:t>
            </w:r>
          </w:p>
          <w:p w14:paraId="6BD016EE" w14:textId="77777777" w:rsidR="00AB39B3" w:rsidRPr="00AB39B3" w:rsidRDefault="00AB39B3" w:rsidP="00AB39B3">
            <w:pPr>
              <w:rPr>
                <w:rFonts w:asciiTheme="minorBidi" w:hAnsiTheme="minorBidi" w:cstheme="minorBidi"/>
                <w:i/>
                <w:iCs/>
              </w:rPr>
            </w:pPr>
          </w:p>
          <w:p w14:paraId="290C999B" w14:textId="24C2BB90" w:rsidR="00AB39B3" w:rsidRPr="00AB39B3" w:rsidRDefault="00AB39B3" w:rsidP="00AB39B3">
            <w:pPr>
              <w:rPr>
                <w:rFonts w:asciiTheme="minorBidi" w:hAnsiTheme="minorBidi" w:cstheme="minorBidi"/>
              </w:rPr>
            </w:pPr>
            <w:r w:rsidRPr="00AB39B3">
              <w:rPr>
                <w:rFonts w:asciiTheme="minorBidi" w:hAnsiTheme="minorBidi" w:cstheme="minorBidi"/>
              </w:rPr>
              <w:t>Somewhat helpful.</w:t>
            </w:r>
          </w:p>
          <w:p w14:paraId="4A1912AA" w14:textId="77777777" w:rsidR="00AB39B3" w:rsidRPr="00AB39B3" w:rsidRDefault="00AB39B3" w:rsidP="00AB39B3">
            <w:pPr>
              <w:rPr>
                <w:rFonts w:asciiTheme="minorBidi" w:hAnsiTheme="minorBidi" w:cstheme="minorBidi"/>
              </w:rPr>
            </w:pPr>
          </w:p>
          <w:p w14:paraId="036F40A7" w14:textId="77777777" w:rsidR="00006F52" w:rsidRPr="00006F52" w:rsidRDefault="00006F52" w:rsidP="00006F52">
            <w:pPr>
              <w:rPr>
                <w:rFonts w:asciiTheme="minorBidi" w:hAnsiTheme="minorBidi" w:cstheme="minorBidi"/>
              </w:rPr>
            </w:pPr>
            <w:r w:rsidRPr="00006F52">
              <w:rPr>
                <w:rFonts w:asciiTheme="minorBidi" w:hAnsiTheme="minorBidi" w:cstheme="minorBidi"/>
              </w:rPr>
              <w:t>The guidance could provide further information regarding the potential to use national spatial datasets relating to the presence of facilities and link to data relating to use of those spaces.</w:t>
            </w:r>
          </w:p>
          <w:p w14:paraId="5E0FE9A8" w14:textId="77777777" w:rsidR="00006F52" w:rsidRPr="00006F52" w:rsidRDefault="00006F52" w:rsidP="00006F52">
            <w:pPr>
              <w:rPr>
                <w:rFonts w:asciiTheme="minorBidi" w:hAnsiTheme="minorBidi" w:cstheme="minorBidi"/>
              </w:rPr>
            </w:pPr>
          </w:p>
          <w:p w14:paraId="2383CB91" w14:textId="77777777" w:rsidR="00006F52" w:rsidRPr="00006F52" w:rsidRDefault="00006F52" w:rsidP="00006F52">
            <w:pPr>
              <w:rPr>
                <w:rFonts w:asciiTheme="minorBidi" w:hAnsiTheme="minorBidi" w:cstheme="minorBidi"/>
              </w:rPr>
            </w:pPr>
            <w:r w:rsidRPr="00006F52">
              <w:rPr>
                <w:rFonts w:asciiTheme="minorBidi" w:hAnsiTheme="minorBidi" w:cstheme="minorBidi"/>
              </w:rPr>
              <w:t>The MRC/CSO Social and Public Health Sciences Unit conducted a study exploring access to and use of greenspace across Scotland in the context of 20-minute neighbourhoods. The research found that:</w:t>
            </w:r>
          </w:p>
          <w:p w14:paraId="122544FB" w14:textId="77777777" w:rsidR="00006F52" w:rsidRPr="00006F52" w:rsidRDefault="00006F52" w:rsidP="00006F52">
            <w:pPr>
              <w:pStyle w:val="ListParagraph"/>
              <w:numPr>
                <w:ilvl w:val="0"/>
                <w:numId w:val="2"/>
              </w:numPr>
              <w:contextualSpacing/>
              <w:rPr>
                <w:rFonts w:asciiTheme="minorBidi" w:hAnsiTheme="minorBidi" w:cstheme="minorBidi"/>
              </w:rPr>
            </w:pPr>
            <w:r w:rsidRPr="00006F52">
              <w:rPr>
                <w:rFonts w:asciiTheme="minorBidi" w:hAnsiTheme="minorBidi" w:cstheme="minorBidi"/>
              </w:rPr>
              <w:lastRenderedPageBreak/>
              <w:t>87% of respondents lived within 10 min walk of a natural space, meeting the policy specification for a 20-min neighbourhood.</w:t>
            </w:r>
          </w:p>
          <w:p w14:paraId="3AD419B7" w14:textId="77777777" w:rsidR="00006F52" w:rsidRDefault="00006F52" w:rsidP="00006F52">
            <w:pPr>
              <w:pStyle w:val="ListParagraph"/>
              <w:numPr>
                <w:ilvl w:val="0"/>
                <w:numId w:val="2"/>
              </w:numPr>
              <w:contextualSpacing/>
              <w:rPr>
                <w:rFonts w:asciiTheme="minorBidi" w:hAnsiTheme="minorBidi" w:cstheme="minorBidi"/>
              </w:rPr>
            </w:pPr>
            <w:r w:rsidRPr="00006F52">
              <w:rPr>
                <w:rFonts w:asciiTheme="minorBidi" w:hAnsiTheme="minorBidi" w:cstheme="minorBidi"/>
              </w:rPr>
              <w:t>Greater proximity to natural space and housing tenure were associated with increased use.</w:t>
            </w:r>
          </w:p>
          <w:p w14:paraId="01AD1AD5" w14:textId="77777777" w:rsidR="00006F52" w:rsidRPr="00006F52" w:rsidRDefault="00006F52" w:rsidP="00006F52">
            <w:pPr>
              <w:rPr>
                <w:rFonts w:asciiTheme="minorBidi" w:hAnsiTheme="minorBidi" w:cstheme="minorBidi"/>
              </w:rPr>
            </w:pPr>
            <w:r w:rsidRPr="00006F52">
              <w:rPr>
                <w:rFonts w:asciiTheme="minorBidi" w:hAnsiTheme="minorBidi" w:cstheme="minorBidi"/>
                <w:lang w:val="da-DK"/>
              </w:rPr>
              <w:t xml:space="preserve">Reference: Olsen, Jonathan R., et al. </w:t>
            </w:r>
            <w:r w:rsidRPr="00006F52">
              <w:rPr>
                <w:rFonts w:asciiTheme="minorBidi" w:hAnsiTheme="minorBidi" w:cstheme="minorBidi"/>
              </w:rPr>
              <w:t xml:space="preserve">"Trends and inequalities in distance to and use of nearest natural space in the context of the 20-min neighbourhood: A 4-wave national repeat cross-sectional study, 2013 to 2019." Environmental Research 213 (2022): 113610. </w:t>
            </w:r>
            <w:hyperlink r:id="rId12" w:history="1">
              <w:r w:rsidRPr="00006F52">
                <w:rPr>
                  <w:rStyle w:val="Hyperlink"/>
                  <w:rFonts w:asciiTheme="minorBidi" w:hAnsiTheme="minorBidi" w:cstheme="minorBidi"/>
                </w:rPr>
                <w:t>https://doi.org/10.1016/j.envres.2022.113610</w:t>
              </w:r>
            </w:hyperlink>
            <w:r w:rsidRPr="00006F52">
              <w:rPr>
                <w:rFonts w:asciiTheme="minorBidi" w:hAnsiTheme="minorBidi" w:cstheme="minorBidi"/>
              </w:rPr>
              <w:t xml:space="preserve"> </w:t>
            </w:r>
          </w:p>
          <w:p w14:paraId="4469BEA1" w14:textId="77777777" w:rsidR="00AB39B3" w:rsidRPr="00006F52" w:rsidRDefault="00AB39B3" w:rsidP="00AB39B3">
            <w:pPr>
              <w:rPr>
                <w:rFonts w:asciiTheme="minorBidi" w:hAnsiTheme="minorBidi" w:cstheme="minorBidi"/>
              </w:rPr>
            </w:pPr>
          </w:p>
          <w:p w14:paraId="2EEAC1FF" w14:textId="77777777" w:rsidR="00006F52" w:rsidRDefault="00006F52" w:rsidP="00006F52">
            <w:pPr>
              <w:rPr>
                <w:rFonts w:asciiTheme="minorBidi" w:hAnsiTheme="minorBidi" w:cstheme="minorBidi"/>
              </w:rPr>
            </w:pPr>
            <w:r w:rsidRPr="00006F52">
              <w:rPr>
                <w:rFonts w:asciiTheme="minorBidi" w:hAnsiTheme="minorBidi" w:cstheme="minorBidi"/>
              </w:rPr>
              <w:t>The findings provide important evidence that physical access to specific 20-minute neighbourhood domains differ. They also highlight key differences between access and use between socio-economic groups, for example private renters and homeowners are more likely than social renters to use greenspace, regardless of access.</w:t>
            </w:r>
          </w:p>
          <w:p w14:paraId="65BF1EB1" w14:textId="77777777" w:rsidR="00006F52" w:rsidRDefault="00006F52" w:rsidP="00006F52">
            <w:pPr>
              <w:rPr>
                <w:rFonts w:asciiTheme="minorBidi" w:hAnsiTheme="minorBidi" w:cstheme="minorBidi"/>
              </w:rPr>
            </w:pPr>
          </w:p>
          <w:p w14:paraId="54F15629" w14:textId="77777777" w:rsidR="00006F52" w:rsidRPr="00006F52" w:rsidRDefault="00006F52" w:rsidP="00006F52">
            <w:pPr>
              <w:rPr>
                <w:rFonts w:asciiTheme="minorBidi" w:hAnsiTheme="minorBidi" w:cstheme="minorBidi"/>
                <w:b/>
                <w:bCs/>
                <w:i/>
                <w:iCs/>
              </w:rPr>
            </w:pPr>
            <w:r w:rsidRPr="00006F52">
              <w:rPr>
                <w:rFonts w:asciiTheme="minorBidi" w:hAnsiTheme="minorBidi" w:cstheme="minorBidi"/>
                <w:b/>
                <w:bCs/>
                <w:i/>
                <w:iCs/>
              </w:rPr>
              <w:t>Question 6:</w:t>
            </w:r>
            <w:r w:rsidRPr="00006F52">
              <w:rPr>
                <w:rFonts w:asciiTheme="minorBidi" w:hAnsiTheme="minorBidi" w:cstheme="minorBidi"/>
              </w:rPr>
              <w:t xml:space="preserve"> </w:t>
            </w:r>
            <w:r w:rsidRPr="00006F52">
              <w:rPr>
                <w:rFonts w:asciiTheme="minorBidi" w:hAnsiTheme="minorBidi" w:cstheme="minorBidi"/>
                <w:b/>
                <w:bCs/>
                <w:i/>
                <w:iCs/>
              </w:rPr>
              <w:t>How helpful is the 'collaborate, plan, design' section of part 3 in supporting collaborative practices?</w:t>
            </w:r>
          </w:p>
          <w:p w14:paraId="4983383D" w14:textId="77777777" w:rsidR="00006F52" w:rsidRPr="00006F52" w:rsidRDefault="00006F52" w:rsidP="00006F52">
            <w:pPr>
              <w:rPr>
                <w:rFonts w:asciiTheme="minorBidi" w:hAnsiTheme="minorBidi" w:cstheme="minorBidi"/>
                <w:b/>
                <w:bCs/>
                <w:i/>
                <w:iCs/>
              </w:rPr>
            </w:pPr>
          </w:p>
          <w:p w14:paraId="4A1151BA" w14:textId="77777777" w:rsidR="00006F52" w:rsidRPr="00006F52" w:rsidRDefault="00006F52" w:rsidP="00006F52">
            <w:pPr>
              <w:rPr>
                <w:rFonts w:asciiTheme="minorBidi" w:hAnsiTheme="minorBidi" w:cstheme="minorBidi"/>
              </w:rPr>
            </w:pPr>
            <w:r w:rsidRPr="00006F52">
              <w:rPr>
                <w:rFonts w:asciiTheme="minorBidi" w:hAnsiTheme="minorBidi" w:cstheme="minorBidi"/>
              </w:rPr>
              <w:t>No response.</w:t>
            </w:r>
          </w:p>
          <w:p w14:paraId="1579370C" w14:textId="77777777" w:rsidR="00006F52" w:rsidRPr="00006F52" w:rsidRDefault="00006F52" w:rsidP="00006F52">
            <w:pPr>
              <w:rPr>
                <w:rFonts w:asciiTheme="minorBidi" w:hAnsiTheme="minorBidi" w:cstheme="minorBidi"/>
              </w:rPr>
            </w:pPr>
          </w:p>
          <w:p w14:paraId="66417F1B" w14:textId="77777777" w:rsidR="00006F52" w:rsidRPr="00006F52" w:rsidRDefault="00006F52" w:rsidP="00006F52">
            <w:pPr>
              <w:rPr>
                <w:rFonts w:asciiTheme="minorBidi" w:hAnsiTheme="minorBidi" w:cstheme="minorBidi"/>
                <w:b/>
                <w:bCs/>
                <w:i/>
                <w:iCs/>
              </w:rPr>
            </w:pPr>
            <w:r w:rsidRPr="00006F52">
              <w:rPr>
                <w:rFonts w:asciiTheme="minorBidi" w:hAnsiTheme="minorBidi" w:cstheme="minorBidi"/>
                <w:b/>
                <w:bCs/>
                <w:i/>
                <w:iCs/>
              </w:rPr>
              <w:t>Question 7:</w:t>
            </w:r>
            <w:r w:rsidRPr="00006F52">
              <w:rPr>
                <w:rFonts w:asciiTheme="minorBidi" w:hAnsiTheme="minorBidi" w:cstheme="minorBidi"/>
              </w:rPr>
              <w:t xml:space="preserve"> </w:t>
            </w:r>
            <w:r w:rsidRPr="00006F52">
              <w:rPr>
                <w:rFonts w:asciiTheme="minorBidi" w:hAnsiTheme="minorBidi" w:cstheme="minorBidi"/>
                <w:b/>
                <w:bCs/>
                <w:i/>
                <w:iCs/>
              </w:rPr>
              <w:t>How helpful is the 'implement and review' section of part 3 in assisting the delivery of collaborative approaches to support local living?</w:t>
            </w:r>
          </w:p>
          <w:p w14:paraId="79B60E0A" w14:textId="77777777" w:rsidR="00006F52" w:rsidRPr="00006F52" w:rsidRDefault="00006F52" w:rsidP="00006F52">
            <w:pPr>
              <w:rPr>
                <w:rFonts w:asciiTheme="minorBidi" w:hAnsiTheme="minorBidi" w:cstheme="minorBidi"/>
                <w:b/>
                <w:bCs/>
                <w:i/>
                <w:iCs/>
              </w:rPr>
            </w:pPr>
          </w:p>
          <w:p w14:paraId="584590AA" w14:textId="77777777" w:rsidR="00006F52" w:rsidRPr="00006F52" w:rsidRDefault="00006F52" w:rsidP="00006F52">
            <w:pPr>
              <w:rPr>
                <w:rFonts w:asciiTheme="minorBidi" w:hAnsiTheme="minorBidi" w:cstheme="minorBidi"/>
              </w:rPr>
            </w:pPr>
            <w:r w:rsidRPr="00006F52">
              <w:rPr>
                <w:rFonts w:asciiTheme="minorBidi" w:hAnsiTheme="minorBidi" w:cstheme="minorBidi"/>
              </w:rPr>
              <w:t>No response.</w:t>
            </w:r>
          </w:p>
          <w:p w14:paraId="7FCBAD7C" w14:textId="77777777" w:rsidR="00006F52" w:rsidRPr="00006F52" w:rsidRDefault="00006F52" w:rsidP="00006F52">
            <w:pPr>
              <w:rPr>
                <w:rFonts w:asciiTheme="minorBidi" w:hAnsiTheme="minorBidi" w:cstheme="minorBidi"/>
              </w:rPr>
            </w:pPr>
          </w:p>
          <w:p w14:paraId="43CB652F" w14:textId="77777777" w:rsidR="00006F52" w:rsidRPr="00006F52" w:rsidRDefault="00006F52" w:rsidP="00006F52">
            <w:pPr>
              <w:rPr>
                <w:rFonts w:asciiTheme="minorBidi" w:hAnsiTheme="minorBidi" w:cstheme="minorBidi"/>
                <w:b/>
                <w:bCs/>
                <w:i/>
                <w:iCs/>
              </w:rPr>
            </w:pPr>
            <w:r w:rsidRPr="00006F52">
              <w:rPr>
                <w:rFonts w:asciiTheme="minorBidi" w:hAnsiTheme="minorBidi" w:cstheme="minorBidi"/>
                <w:b/>
                <w:bCs/>
                <w:i/>
                <w:iCs/>
              </w:rPr>
              <w:t>Question 8:</w:t>
            </w:r>
            <w:r w:rsidRPr="00006F52">
              <w:rPr>
                <w:rFonts w:asciiTheme="minorBidi" w:hAnsiTheme="minorBidi" w:cstheme="minorBidi"/>
              </w:rPr>
              <w:t xml:space="preserve"> </w:t>
            </w:r>
            <w:r w:rsidRPr="00006F52">
              <w:rPr>
                <w:rFonts w:asciiTheme="minorBidi" w:hAnsiTheme="minorBidi" w:cstheme="minorBidi"/>
                <w:b/>
                <w:bCs/>
                <w:i/>
                <w:iCs/>
              </w:rPr>
              <w:t>Looking at part 4 of the draft guidance: do the case studies provide a useful and appropriate range of examples of good practice?</w:t>
            </w:r>
          </w:p>
          <w:p w14:paraId="6CF58EB8" w14:textId="77777777" w:rsidR="00006F52" w:rsidRPr="00006F52" w:rsidRDefault="00006F52" w:rsidP="00006F52">
            <w:pPr>
              <w:rPr>
                <w:rFonts w:asciiTheme="minorBidi" w:hAnsiTheme="minorBidi" w:cstheme="minorBidi"/>
                <w:b/>
                <w:bCs/>
                <w:i/>
                <w:iCs/>
              </w:rPr>
            </w:pPr>
          </w:p>
          <w:p w14:paraId="23711019" w14:textId="77777777" w:rsidR="00006F52" w:rsidRPr="00006F52" w:rsidRDefault="00006F52" w:rsidP="00006F52">
            <w:pPr>
              <w:rPr>
                <w:rFonts w:asciiTheme="minorBidi" w:hAnsiTheme="minorBidi" w:cstheme="minorBidi"/>
              </w:rPr>
            </w:pPr>
            <w:r w:rsidRPr="00006F52">
              <w:rPr>
                <w:rFonts w:asciiTheme="minorBidi" w:hAnsiTheme="minorBidi" w:cstheme="minorBidi"/>
              </w:rPr>
              <w:t>No response.</w:t>
            </w:r>
          </w:p>
          <w:p w14:paraId="43834E3F" w14:textId="77777777" w:rsidR="00006F52" w:rsidRPr="00006F52" w:rsidRDefault="00006F52" w:rsidP="00006F52">
            <w:pPr>
              <w:rPr>
                <w:rFonts w:asciiTheme="minorBidi" w:hAnsiTheme="minorBidi" w:cstheme="minorBidi"/>
              </w:rPr>
            </w:pPr>
          </w:p>
          <w:p w14:paraId="1F5DA573" w14:textId="77777777" w:rsidR="00006F52" w:rsidRPr="00006F52" w:rsidRDefault="00006F52" w:rsidP="00006F52">
            <w:pPr>
              <w:rPr>
                <w:rFonts w:asciiTheme="minorBidi" w:hAnsiTheme="minorBidi" w:cstheme="minorBidi"/>
                <w:b/>
                <w:bCs/>
                <w:i/>
                <w:iCs/>
              </w:rPr>
            </w:pPr>
            <w:r w:rsidRPr="00006F52">
              <w:rPr>
                <w:rFonts w:asciiTheme="minorBidi" w:hAnsiTheme="minorBidi" w:cstheme="minorBidi"/>
                <w:b/>
                <w:bCs/>
                <w:i/>
                <w:iCs/>
              </w:rPr>
              <w:t>Question 9: Looking at the impact assessment update report: do you have any views about the initial conclusions of the impact assessment update report that accompany and inform this guidance?</w:t>
            </w:r>
          </w:p>
          <w:p w14:paraId="66A0E918" w14:textId="77777777" w:rsidR="00006F52" w:rsidRPr="00006F52" w:rsidRDefault="00006F52" w:rsidP="00006F52">
            <w:pPr>
              <w:rPr>
                <w:rFonts w:asciiTheme="minorBidi" w:hAnsiTheme="minorBidi" w:cstheme="minorBidi"/>
                <w:b/>
                <w:bCs/>
                <w:i/>
                <w:iCs/>
              </w:rPr>
            </w:pPr>
          </w:p>
          <w:p w14:paraId="461B2006" w14:textId="77777777" w:rsidR="00006F52" w:rsidRDefault="00006F52" w:rsidP="00006F52">
            <w:pPr>
              <w:rPr>
                <w:rFonts w:asciiTheme="minorBidi" w:hAnsiTheme="minorBidi" w:cstheme="minorBidi"/>
              </w:rPr>
            </w:pPr>
            <w:r w:rsidRPr="00006F52">
              <w:rPr>
                <w:rFonts w:asciiTheme="minorBidi" w:hAnsiTheme="minorBidi" w:cstheme="minorBidi"/>
              </w:rPr>
              <w:t>No response.</w:t>
            </w:r>
          </w:p>
          <w:p w14:paraId="21AD792A" w14:textId="77777777" w:rsidR="00006F52" w:rsidRDefault="00006F52" w:rsidP="00006F52">
            <w:pPr>
              <w:rPr>
                <w:rFonts w:asciiTheme="minorBidi" w:hAnsiTheme="minorBidi" w:cstheme="minorBidi"/>
              </w:rPr>
            </w:pPr>
          </w:p>
          <w:p w14:paraId="27173F47" w14:textId="77777777" w:rsidR="00006F52" w:rsidRPr="00006F52" w:rsidRDefault="00006F52" w:rsidP="00006F52">
            <w:pPr>
              <w:rPr>
                <w:rFonts w:ascii="Arial" w:hAnsi="Arial" w:cs="Arial"/>
                <w:b/>
                <w:bCs/>
                <w:i/>
                <w:iCs/>
              </w:rPr>
            </w:pPr>
            <w:r w:rsidRPr="00006F52">
              <w:rPr>
                <w:rFonts w:ascii="Arial" w:hAnsi="Arial" w:cs="Arial"/>
                <w:b/>
                <w:bCs/>
                <w:i/>
                <w:iCs/>
              </w:rPr>
              <w:t>Question 10: Additional information: please provide any further comments on the draft guidance document.</w:t>
            </w:r>
          </w:p>
          <w:p w14:paraId="41E3547E" w14:textId="77777777" w:rsidR="00006F52" w:rsidRPr="00006F52" w:rsidRDefault="00006F52" w:rsidP="00006F52">
            <w:pPr>
              <w:rPr>
                <w:rFonts w:ascii="Arial" w:hAnsi="Arial" w:cs="Arial"/>
              </w:rPr>
            </w:pPr>
          </w:p>
          <w:p w14:paraId="492D4D79" w14:textId="77777777" w:rsidR="00006F52" w:rsidRPr="00006F52" w:rsidRDefault="00006F52" w:rsidP="00006F52">
            <w:pPr>
              <w:rPr>
                <w:rFonts w:ascii="Arial" w:hAnsi="Arial" w:cs="Arial"/>
              </w:rPr>
            </w:pPr>
            <w:r w:rsidRPr="00006F52">
              <w:rPr>
                <w:rFonts w:ascii="Arial" w:hAnsi="Arial" w:cs="Arial"/>
              </w:rPr>
              <w:t xml:space="preserve">Further background evidence, including that suggested within our response, could </w:t>
            </w:r>
            <w:proofErr w:type="gramStart"/>
            <w:r w:rsidRPr="00006F52">
              <w:rPr>
                <w:rFonts w:ascii="Arial" w:hAnsi="Arial" w:cs="Arial"/>
              </w:rPr>
              <w:t>emphasise</w:t>
            </w:r>
            <w:proofErr w:type="gramEnd"/>
            <w:r w:rsidRPr="00006F52">
              <w:rPr>
                <w:rFonts w:ascii="Arial" w:hAnsi="Arial" w:cs="Arial"/>
              </w:rPr>
              <w:t xml:space="preserve"> and support the connection between urban design and health outcomes. Making clear use of and reference to research studies in Scotland would provide support for local development plans to focus on improving health and reducing health inequalities based on current evidence.</w:t>
            </w:r>
          </w:p>
          <w:p w14:paraId="6A0203C8" w14:textId="77777777" w:rsidR="00006F52" w:rsidRPr="00006F52" w:rsidRDefault="00006F52" w:rsidP="00006F52">
            <w:pPr>
              <w:rPr>
                <w:rFonts w:ascii="Arial" w:hAnsi="Arial" w:cs="Arial"/>
              </w:rPr>
            </w:pPr>
          </w:p>
          <w:p w14:paraId="6A57EDEA" w14:textId="77777777" w:rsidR="00006F52" w:rsidRPr="00006F52" w:rsidRDefault="00006F52" w:rsidP="00006F52">
            <w:pPr>
              <w:rPr>
                <w:rFonts w:ascii="Arial" w:hAnsi="Arial" w:cs="Arial"/>
              </w:rPr>
            </w:pPr>
            <w:r w:rsidRPr="00006F52">
              <w:rPr>
                <w:rFonts w:ascii="Arial" w:hAnsi="Arial" w:cs="Arial"/>
              </w:rPr>
              <w:t xml:space="preserve">Policies to increase access to services may not be beneficial for health outcomes and could generate negative impacts if greater evidence and thought is not used to differentiate between local amenities based on their quality and if they are health harming (for example, access to fast food or alcohol retailers) or health benefitting (for example, access to high quality greenspaces or healthy food outlets). </w:t>
            </w:r>
          </w:p>
          <w:p w14:paraId="255ECCC0" w14:textId="790F1BB6" w:rsidR="00AB39B3" w:rsidRPr="00AB39B3" w:rsidRDefault="00AB39B3" w:rsidP="00AB39B3">
            <w:pPr>
              <w:rPr>
                <w:rFonts w:asciiTheme="minorBidi" w:hAnsiTheme="minorBidi" w:cstheme="minorBidi"/>
              </w:rPr>
            </w:pPr>
          </w:p>
        </w:tc>
      </w:tr>
      <w:tr w:rsidR="00AB39B3" w:rsidRPr="004C4D6E" w14:paraId="1E1EA9DF" w14:textId="77777777" w:rsidTr="00B07983">
        <w:trPr>
          <w:trHeight w:val="384"/>
        </w:trPr>
        <w:tc>
          <w:tcPr>
            <w:tcW w:w="9740" w:type="dxa"/>
            <w:vAlign w:val="center"/>
          </w:tcPr>
          <w:p w14:paraId="2EDAE20C" w14:textId="77777777" w:rsidR="00AB39B3" w:rsidRPr="005C29C2" w:rsidRDefault="00AB39B3" w:rsidP="00AB39B3">
            <w:pPr>
              <w:rPr>
                <w:rFonts w:ascii="Arial" w:hAnsi="Arial" w:cs="Arial"/>
              </w:rPr>
            </w:pPr>
            <w:r w:rsidRPr="00F86B70">
              <w:rPr>
                <w:rFonts w:ascii="Arial" w:hAnsi="Arial" w:cs="Arial"/>
                <w:b/>
                <w:sz w:val="24"/>
                <w:szCs w:val="24"/>
              </w:rPr>
              <w:lastRenderedPageBreak/>
              <w:t>When was the response submitted?</w:t>
            </w:r>
          </w:p>
        </w:tc>
      </w:tr>
      <w:tr w:rsidR="00AB39B3" w:rsidRPr="004C4D6E" w14:paraId="6A22782B" w14:textId="77777777" w:rsidTr="00B07983">
        <w:trPr>
          <w:trHeight w:val="384"/>
        </w:trPr>
        <w:tc>
          <w:tcPr>
            <w:tcW w:w="9740" w:type="dxa"/>
            <w:vAlign w:val="center"/>
          </w:tcPr>
          <w:p w14:paraId="36F4D880" w14:textId="3F01F17C" w:rsidR="00AB39B3" w:rsidRPr="005C29C2" w:rsidRDefault="00AB39B3" w:rsidP="00AB39B3">
            <w:pPr>
              <w:rPr>
                <w:rFonts w:ascii="Arial" w:hAnsi="Arial" w:cs="Arial"/>
              </w:rPr>
            </w:pPr>
            <w:r>
              <w:rPr>
                <w:rFonts w:ascii="Arial" w:hAnsi="Arial" w:cs="Arial"/>
              </w:rPr>
              <w:lastRenderedPageBreak/>
              <w:t>19</w:t>
            </w:r>
            <w:r w:rsidRPr="00AB39B3">
              <w:rPr>
                <w:rFonts w:ascii="Arial" w:hAnsi="Arial" w:cs="Arial"/>
                <w:vertAlign w:val="superscript"/>
              </w:rPr>
              <w:t>th</w:t>
            </w:r>
            <w:r>
              <w:rPr>
                <w:rFonts w:ascii="Arial" w:hAnsi="Arial" w:cs="Arial"/>
              </w:rPr>
              <w:t xml:space="preserve"> July 2023</w:t>
            </w:r>
          </w:p>
        </w:tc>
      </w:tr>
      <w:tr w:rsidR="00AB39B3" w:rsidRPr="004C4D6E" w14:paraId="2399761A" w14:textId="77777777" w:rsidTr="00B07983">
        <w:trPr>
          <w:trHeight w:val="384"/>
        </w:trPr>
        <w:tc>
          <w:tcPr>
            <w:tcW w:w="9740" w:type="dxa"/>
            <w:vAlign w:val="center"/>
          </w:tcPr>
          <w:p w14:paraId="47690960" w14:textId="77777777" w:rsidR="00AB39B3" w:rsidRPr="005C29C2" w:rsidRDefault="00AB39B3" w:rsidP="00AB39B3">
            <w:pPr>
              <w:rPr>
                <w:rFonts w:ascii="Arial" w:hAnsi="Arial" w:cs="Arial"/>
              </w:rPr>
            </w:pPr>
            <w:r w:rsidRPr="00F86B70">
              <w:rPr>
                <w:rFonts w:ascii="Arial" w:hAnsi="Arial" w:cs="Arial"/>
                <w:b/>
                <w:sz w:val="24"/>
                <w:szCs w:val="24"/>
              </w:rPr>
              <w:t>Find out more about our research in this area</w:t>
            </w:r>
          </w:p>
        </w:tc>
      </w:tr>
      <w:tr w:rsidR="00AB39B3" w:rsidRPr="004C4D6E" w14:paraId="74242CBE" w14:textId="77777777" w:rsidTr="00B07983">
        <w:trPr>
          <w:trHeight w:val="384"/>
        </w:trPr>
        <w:tc>
          <w:tcPr>
            <w:tcW w:w="9740" w:type="dxa"/>
            <w:vAlign w:val="center"/>
          </w:tcPr>
          <w:p w14:paraId="0859EB89" w14:textId="187D7E18" w:rsidR="00AB39B3" w:rsidRPr="00AB39B3" w:rsidRDefault="009473FC" w:rsidP="00AB39B3">
            <w:pPr>
              <w:rPr>
                <w:rFonts w:asciiTheme="minorBidi" w:hAnsiTheme="minorBidi" w:cstheme="minorBidi"/>
              </w:rPr>
            </w:pPr>
            <w:hyperlink r:id="rId13" w:history="1">
              <w:r w:rsidR="00AB39B3" w:rsidRPr="00AB39B3">
                <w:rPr>
                  <w:rStyle w:val="Hyperlink"/>
                  <w:rFonts w:asciiTheme="minorBidi" w:hAnsiTheme="minorBidi" w:cstheme="minorBidi"/>
                </w:rPr>
                <w:t>www.gla.ac.uk/slldp</w:t>
              </w:r>
            </w:hyperlink>
            <w:r w:rsidR="00AB39B3" w:rsidRPr="00AB39B3">
              <w:rPr>
                <w:rFonts w:asciiTheme="minorBidi" w:hAnsiTheme="minorBidi" w:cstheme="minorBidi"/>
              </w:rPr>
              <w:t xml:space="preserve">  </w:t>
            </w:r>
          </w:p>
          <w:p w14:paraId="352BEB86" w14:textId="77777777" w:rsidR="00AB39B3" w:rsidRPr="00AB39B3" w:rsidRDefault="00AB39B3" w:rsidP="00AB39B3">
            <w:pPr>
              <w:rPr>
                <w:rFonts w:asciiTheme="minorBidi" w:hAnsiTheme="minorBidi" w:cstheme="minorBidi"/>
              </w:rPr>
            </w:pPr>
          </w:p>
          <w:p w14:paraId="2D8B4F00" w14:textId="70F73670" w:rsidR="00AB39B3" w:rsidRPr="00AB39B3" w:rsidRDefault="009473FC" w:rsidP="00AB39B3">
            <w:pPr>
              <w:rPr>
                <w:rFonts w:asciiTheme="minorBidi" w:hAnsiTheme="minorBidi" w:cstheme="minorBidi"/>
              </w:rPr>
            </w:pPr>
            <w:hyperlink r:id="rId14" w:history="1">
              <w:r w:rsidR="00AB39B3" w:rsidRPr="00AB39B3">
                <w:rPr>
                  <w:rStyle w:val="Hyperlink"/>
                  <w:rFonts w:asciiTheme="minorBidi" w:hAnsiTheme="minorBidi" w:cstheme="minorBidi"/>
                </w:rPr>
                <w:t>https://www.gla.ac.uk/schools/healthwellbeing/research/mrccsosocialandpublichealthsciencesunit/programmes/places/</w:t>
              </w:r>
            </w:hyperlink>
          </w:p>
          <w:p w14:paraId="34066381" w14:textId="77777777" w:rsidR="00AB39B3" w:rsidRPr="00AB39B3" w:rsidRDefault="00AB39B3" w:rsidP="00AB39B3">
            <w:pPr>
              <w:rPr>
                <w:rFonts w:asciiTheme="minorBidi" w:hAnsiTheme="minorBidi" w:cstheme="minorBidi"/>
              </w:rPr>
            </w:pPr>
          </w:p>
        </w:tc>
      </w:tr>
      <w:tr w:rsidR="00AB39B3" w:rsidRPr="004C4D6E" w14:paraId="5932ECEC" w14:textId="77777777" w:rsidTr="00B07983">
        <w:trPr>
          <w:trHeight w:val="384"/>
        </w:trPr>
        <w:tc>
          <w:tcPr>
            <w:tcW w:w="9740" w:type="dxa"/>
            <w:vAlign w:val="center"/>
          </w:tcPr>
          <w:p w14:paraId="2AD56FE8" w14:textId="77777777" w:rsidR="00AB39B3" w:rsidRPr="005C29C2" w:rsidRDefault="00AB39B3" w:rsidP="00AB39B3">
            <w:pPr>
              <w:rPr>
                <w:rFonts w:ascii="Arial" w:hAnsi="Arial" w:cs="Arial"/>
              </w:rPr>
            </w:pPr>
            <w:r w:rsidRPr="00F86B70">
              <w:rPr>
                <w:rFonts w:ascii="Arial" w:hAnsi="Arial" w:cs="Arial"/>
                <w:b/>
                <w:sz w:val="24"/>
                <w:szCs w:val="24"/>
              </w:rPr>
              <w:t>Who to contact about this response</w:t>
            </w:r>
          </w:p>
        </w:tc>
      </w:tr>
      <w:tr w:rsidR="00AB39B3" w:rsidRPr="009473FC" w14:paraId="58679DD9" w14:textId="77777777" w:rsidTr="00B07983">
        <w:trPr>
          <w:trHeight w:val="384"/>
        </w:trPr>
        <w:tc>
          <w:tcPr>
            <w:tcW w:w="9740" w:type="dxa"/>
            <w:vAlign w:val="center"/>
          </w:tcPr>
          <w:p w14:paraId="4CE392FD" w14:textId="1B86ADD9" w:rsidR="00AB39B3" w:rsidRPr="00AB39B3" w:rsidRDefault="00AB39B3" w:rsidP="00AB39B3">
            <w:pPr>
              <w:pStyle w:val="Default"/>
              <w:rPr>
                <w:rFonts w:asciiTheme="minorBidi" w:hAnsiTheme="minorBidi" w:cstheme="minorBidi"/>
                <w:sz w:val="22"/>
                <w:szCs w:val="22"/>
              </w:rPr>
            </w:pPr>
            <w:r w:rsidRPr="00AB39B3">
              <w:rPr>
                <w:rFonts w:asciiTheme="minorBidi" w:hAnsiTheme="minorBidi" w:cstheme="minorBidi"/>
                <w:sz w:val="22"/>
                <w:szCs w:val="22"/>
              </w:rPr>
              <w:t>Dr Jonathan Olsen, Ms Roxana Pollack, Dr Jonathan Stokes</w:t>
            </w:r>
          </w:p>
          <w:p w14:paraId="5814CD1D" w14:textId="3F999B66" w:rsidR="00AB39B3" w:rsidRPr="00AB39B3" w:rsidRDefault="00AB39B3" w:rsidP="00AB39B3">
            <w:pPr>
              <w:pStyle w:val="Default"/>
              <w:rPr>
                <w:rFonts w:asciiTheme="minorBidi" w:hAnsiTheme="minorBidi" w:cstheme="minorBidi"/>
                <w:sz w:val="22"/>
                <w:szCs w:val="22"/>
              </w:rPr>
            </w:pPr>
            <w:r w:rsidRPr="00AB39B3">
              <w:rPr>
                <w:rFonts w:asciiTheme="minorBidi" w:hAnsiTheme="minorBidi" w:cstheme="minorBidi"/>
                <w:sz w:val="22"/>
                <w:szCs w:val="22"/>
              </w:rPr>
              <w:t>MRC/CSO Social and Public Health Sciences Unit</w:t>
            </w:r>
            <w:r>
              <w:rPr>
                <w:rFonts w:asciiTheme="minorBidi" w:hAnsiTheme="minorBidi" w:cstheme="minorBidi"/>
                <w:sz w:val="22"/>
                <w:szCs w:val="22"/>
              </w:rPr>
              <w:t xml:space="preserve">, </w:t>
            </w:r>
            <w:r w:rsidRPr="00AB39B3">
              <w:rPr>
                <w:rFonts w:asciiTheme="minorBidi" w:hAnsiTheme="minorBidi" w:cstheme="minorBidi"/>
                <w:sz w:val="22"/>
                <w:szCs w:val="22"/>
              </w:rPr>
              <w:t>University of Glasgow</w:t>
            </w:r>
          </w:p>
          <w:p w14:paraId="310DC4C7" w14:textId="77777777" w:rsidR="00AB39B3" w:rsidRPr="00AB39B3" w:rsidRDefault="00AB39B3" w:rsidP="00AB39B3">
            <w:pPr>
              <w:pStyle w:val="Default"/>
              <w:rPr>
                <w:rFonts w:asciiTheme="minorBidi" w:hAnsiTheme="minorBidi" w:cstheme="minorBidi"/>
                <w:sz w:val="22"/>
                <w:szCs w:val="22"/>
              </w:rPr>
            </w:pPr>
            <w:r w:rsidRPr="00AB39B3">
              <w:rPr>
                <w:rFonts w:asciiTheme="minorBidi" w:hAnsiTheme="minorBidi" w:cstheme="minorBidi"/>
                <w:sz w:val="22"/>
                <w:szCs w:val="22"/>
              </w:rPr>
              <w:t xml:space="preserve">Clarice Pears Building </w:t>
            </w:r>
          </w:p>
          <w:p w14:paraId="7842C7B4" w14:textId="77777777" w:rsidR="00AB39B3" w:rsidRPr="00AB39B3" w:rsidRDefault="00AB39B3" w:rsidP="00AB39B3">
            <w:pPr>
              <w:pStyle w:val="Default"/>
              <w:rPr>
                <w:rFonts w:asciiTheme="minorBidi" w:hAnsiTheme="minorBidi" w:cstheme="minorBidi"/>
                <w:sz w:val="22"/>
                <w:szCs w:val="22"/>
              </w:rPr>
            </w:pPr>
            <w:r w:rsidRPr="00AB39B3">
              <w:rPr>
                <w:rFonts w:asciiTheme="minorBidi" w:hAnsiTheme="minorBidi" w:cstheme="minorBidi"/>
                <w:sz w:val="22"/>
                <w:szCs w:val="22"/>
              </w:rPr>
              <w:t>90 Byres Road</w:t>
            </w:r>
          </w:p>
          <w:p w14:paraId="34F4342F" w14:textId="77777777" w:rsidR="00AB39B3" w:rsidRDefault="00AB39B3" w:rsidP="00AB39B3">
            <w:pPr>
              <w:pStyle w:val="Default"/>
              <w:rPr>
                <w:rFonts w:asciiTheme="minorBidi" w:hAnsiTheme="minorBidi" w:cstheme="minorBidi"/>
                <w:sz w:val="22"/>
                <w:szCs w:val="22"/>
              </w:rPr>
            </w:pPr>
            <w:r w:rsidRPr="00AB39B3">
              <w:rPr>
                <w:rFonts w:asciiTheme="minorBidi" w:hAnsiTheme="minorBidi" w:cstheme="minorBidi"/>
                <w:sz w:val="22"/>
                <w:szCs w:val="22"/>
              </w:rPr>
              <w:t>Glasgow G12 8TB</w:t>
            </w:r>
          </w:p>
          <w:p w14:paraId="5254C6F1" w14:textId="77777777" w:rsidR="00AB39B3" w:rsidRPr="00AB39B3" w:rsidRDefault="00AB39B3" w:rsidP="00AB39B3">
            <w:pPr>
              <w:pStyle w:val="Default"/>
              <w:rPr>
                <w:rFonts w:asciiTheme="minorBidi" w:hAnsiTheme="minorBidi" w:cstheme="minorBidi"/>
                <w:sz w:val="22"/>
                <w:szCs w:val="22"/>
              </w:rPr>
            </w:pPr>
          </w:p>
          <w:p w14:paraId="5C919756" w14:textId="5123CC17" w:rsidR="00AB39B3" w:rsidRPr="00AB39B3" w:rsidRDefault="00AB39B3" w:rsidP="00AB39B3">
            <w:pPr>
              <w:rPr>
                <w:rFonts w:ascii="Arial" w:hAnsi="Arial" w:cs="Arial"/>
                <w:lang w:val="fr-FR"/>
              </w:rPr>
            </w:pPr>
            <w:proofErr w:type="gramStart"/>
            <w:r w:rsidRPr="00AB39B3">
              <w:rPr>
                <w:rFonts w:asciiTheme="minorBidi" w:hAnsiTheme="minorBidi" w:cstheme="minorBidi"/>
                <w:lang w:val="fr-FR"/>
              </w:rPr>
              <w:t>Email:</w:t>
            </w:r>
            <w:proofErr w:type="gramEnd"/>
            <w:r w:rsidRPr="00AB39B3">
              <w:rPr>
                <w:rFonts w:asciiTheme="minorBidi" w:hAnsiTheme="minorBidi" w:cstheme="minorBidi"/>
                <w:lang w:val="fr-FR"/>
              </w:rPr>
              <w:t xml:space="preserve"> </w:t>
            </w:r>
            <w:hyperlink r:id="rId15" w:history="1">
              <w:r w:rsidRPr="00AB39B3">
                <w:rPr>
                  <w:rStyle w:val="Hyperlink"/>
                  <w:rFonts w:asciiTheme="minorBidi" w:hAnsiTheme="minorBidi" w:cstheme="minorBidi"/>
                  <w:lang w:val="fr-FR"/>
                </w:rPr>
                <w:t>Jonathan.Olsen@glasgow.ac.uk</w:t>
              </w:r>
            </w:hyperlink>
          </w:p>
        </w:tc>
      </w:tr>
    </w:tbl>
    <w:p w14:paraId="1A1F8558" w14:textId="77777777" w:rsidR="00E8301B" w:rsidRPr="00AB39B3" w:rsidRDefault="00E8301B">
      <w:pPr>
        <w:rPr>
          <w:rFonts w:ascii="Arial" w:hAnsi="Arial" w:cs="Arial"/>
          <w:lang w:val="fr-FR"/>
        </w:rPr>
      </w:pPr>
    </w:p>
    <w:p w14:paraId="5246BB9F" w14:textId="00B5B2AE" w:rsidR="00CA7882" w:rsidRPr="00AB39B3" w:rsidRDefault="00CA7882" w:rsidP="00284F21">
      <w:pPr>
        <w:spacing w:after="200" w:line="276" w:lineRule="auto"/>
        <w:rPr>
          <w:rFonts w:ascii="Arial" w:hAnsi="Arial" w:cs="Arial"/>
          <w:lang w:val="fr-FR"/>
        </w:rPr>
      </w:pPr>
    </w:p>
    <w:sectPr w:rsidR="00CA7882" w:rsidRPr="00AB39B3" w:rsidSect="00E8301B">
      <w:headerReference w:type="default" r:id="rId16"/>
      <w:footerReference w:type="default" r:id="rId17"/>
      <w:headerReference w:type="first" r:id="rId18"/>
      <w:footerReference w:type="first" r:id="rId19"/>
      <w:pgSz w:w="11906" w:h="16838"/>
      <w:pgMar w:top="1304"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2868" w14:textId="77777777" w:rsidR="00083091" w:rsidRDefault="00083091" w:rsidP="00CA7882">
      <w:r>
        <w:separator/>
      </w:r>
    </w:p>
  </w:endnote>
  <w:endnote w:type="continuationSeparator" w:id="0">
    <w:p w14:paraId="33E56EEB" w14:textId="77777777" w:rsidR="00083091" w:rsidRDefault="00083091" w:rsidP="00CA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126"/>
    </w:tblGrid>
    <w:tr w:rsidR="00CA7882" w:rsidRPr="00F66F54" w14:paraId="13643B87" w14:textId="77777777" w:rsidTr="005C29C2">
      <w:tc>
        <w:tcPr>
          <w:tcW w:w="4621" w:type="dxa"/>
        </w:tcPr>
        <w:p w14:paraId="13F264C7" w14:textId="77777777" w:rsidR="00CA7882" w:rsidRPr="00CA7882" w:rsidRDefault="00CA7882" w:rsidP="00CA7882">
          <w:pPr>
            <w:pStyle w:val="Footer"/>
            <w:rPr>
              <w:rFonts w:ascii="Verdana" w:hAnsi="Verdana"/>
              <w:color w:val="6C5C4C"/>
              <w:sz w:val="16"/>
              <w:szCs w:val="16"/>
            </w:rPr>
          </w:pPr>
          <w:r w:rsidRPr="00CA7882">
            <w:rPr>
              <w:rFonts w:ascii="Verdana" w:hAnsi="Verdana"/>
              <w:color w:val="6C5C4C"/>
              <w:sz w:val="16"/>
              <w:szCs w:val="16"/>
            </w:rPr>
            <w:t>MRC/CSO Social and Public Health Sciences Unit,</w:t>
          </w:r>
        </w:p>
        <w:p w14:paraId="5510F424" w14:textId="464439D7" w:rsidR="00CA7882" w:rsidRPr="00CA7882" w:rsidRDefault="00CA7882" w:rsidP="00CA7882">
          <w:pPr>
            <w:pStyle w:val="Footer"/>
            <w:rPr>
              <w:rFonts w:ascii="Verdana" w:hAnsi="Verdana"/>
              <w:color w:val="6C5C4C"/>
              <w:sz w:val="16"/>
              <w:szCs w:val="16"/>
            </w:rPr>
          </w:pPr>
          <w:r w:rsidRPr="00CA7882">
            <w:rPr>
              <w:rFonts w:ascii="Verdana" w:hAnsi="Verdana"/>
              <w:color w:val="6C5C4C"/>
              <w:sz w:val="16"/>
              <w:szCs w:val="16"/>
            </w:rPr>
            <w:t>University of Glasgow</w:t>
          </w:r>
        </w:p>
        <w:p w14:paraId="0C470F6F" w14:textId="77777777" w:rsidR="00CA7882" w:rsidRDefault="00F66F54" w:rsidP="00E8301B">
          <w:pPr>
            <w:pStyle w:val="Footer"/>
            <w:rPr>
              <w:rFonts w:ascii="Verdana" w:hAnsi="Verdana"/>
              <w:color w:val="6C5C4C"/>
              <w:sz w:val="16"/>
              <w:szCs w:val="16"/>
            </w:rPr>
          </w:pPr>
          <w:r>
            <w:rPr>
              <w:rFonts w:ascii="Verdana" w:hAnsi="Verdana"/>
              <w:color w:val="6C5C4C"/>
              <w:sz w:val="16"/>
              <w:szCs w:val="16"/>
            </w:rPr>
            <w:t>Clarice Pears Building</w:t>
          </w:r>
        </w:p>
        <w:p w14:paraId="4F34D219" w14:textId="77777777" w:rsidR="00F66F54" w:rsidRDefault="00F66F54" w:rsidP="00E8301B">
          <w:pPr>
            <w:pStyle w:val="Footer"/>
            <w:rPr>
              <w:rFonts w:ascii="Verdana" w:hAnsi="Verdana"/>
              <w:color w:val="6C5C4C"/>
              <w:sz w:val="16"/>
              <w:szCs w:val="16"/>
            </w:rPr>
          </w:pPr>
          <w:r>
            <w:rPr>
              <w:rFonts w:ascii="Verdana" w:hAnsi="Verdana"/>
              <w:color w:val="6C5C4C"/>
              <w:sz w:val="16"/>
              <w:szCs w:val="16"/>
            </w:rPr>
            <w:t>90 Byres Road</w:t>
          </w:r>
        </w:p>
        <w:p w14:paraId="6BF0ABD2" w14:textId="114A2063" w:rsidR="00F66F54" w:rsidRPr="00F66F54" w:rsidRDefault="00F66F54" w:rsidP="00EE3332">
          <w:pPr>
            <w:pStyle w:val="Footer"/>
            <w:rPr>
              <w:rFonts w:ascii="Verdana" w:hAnsi="Verdana"/>
              <w:color w:val="6C5C4C"/>
              <w:sz w:val="16"/>
              <w:szCs w:val="16"/>
            </w:rPr>
          </w:pPr>
          <w:r>
            <w:rPr>
              <w:rFonts w:ascii="Verdana" w:hAnsi="Verdana"/>
              <w:color w:val="6C5C4C"/>
              <w:sz w:val="16"/>
              <w:szCs w:val="16"/>
            </w:rPr>
            <w:t>Glasgow</w:t>
          </w:r>
          <w:r w:rsidR="00EE3332">
            <w:rPr>
              <w:rFonts w:ascii="Verdana" w:hAnsi="Verdana"/>
              <w:color w:val="6C5C4C"/>
              <w:sz w:val="16"/>
              <w:szCs w:val="16"/>
            </w:rPr>
            <w:t xml:space="preserve"> </w:t>
          </w:r>
          <w:r>
            <w:rPr>
              <w:rFonts w:ascii="Verdana" w:hAnsi="Verdana"/>
              <w:color w:val="6C5C4C"/>
              <w:sz w:val="16"/>
              <w:szCs w:val="16"/>
            </w:rPr>
            <w:t>G</w:t>
          </w:r>
          <w:r w:rsidR="00C22A03">
            <w:rPr>
              <w:rFonts w:ascii="Verdana" w:hAnsi="Verdana"/>
              <w:color w:val="6C5C4C"/>
              <w:sz w:val="16"/>
              <w:szCs w:val="16"/>
            </w:rPr>
            <w:t>12 8TB</w:t>
          </w:r>
        </w:p>
      </w:tc>
      <w:tc>
        <w:tcPr>
          <w:tcW w:w="5126" w:type="dxa"/>
        </w:tcPr>
        <w:p w14:paraId="0AFC7D6B" w14:textId="77777777" w:rsidR="00CA7882" w:rsidRPr="00F66F54" w:rsidRDefault="004E7D26" w:rsidP="00CA7882">
          <w:pPr>
            <w:pStyle w:val="Footer"/>
            <w:jc w:val="right"/>
            <w:rPr>
              <w:rFonts w:ascii="Verdana" w:hAnsi="Verdana"/>
              <w:color w:val="6C5C4C"/>
              <w:sz w:val="16"/>
              <w:szCs w:val="16"/>
            </w:rPr>
          </w:pPr>
          <w:r w:rsidRPr="00F66F54">
            <w:rPr>
              <w:rFonts w:ascii="Verdana" w:hAnsi="Verdana"/>
              <w:color w:val="6C5C4C"/>
              <w:sz w:val="16"/>
              <w:szCs w:val="16"/>
            </w:rPr>
            <w:t>www.glasgow.ac.uk/sphsu</w:t>
          </w:r>
          <w:r w:rsidRPr="00F66F54" w:rsidDel="004E7D26">
            <w:rPr>
              <w:rFonts w:ascii="Verdana" w:hAnsi="Verdana"/>
              <w:color w:val="6C5C4C"/>
              <w:sz w:val="16"/>
              <w:szCs w:val="16"/>
            </w:rPr>
            <w:t xml:space="preserve"> </w:t>
          </w:r>
        </w:p>
      </w:tc>
    </w:tr>
  </w:tbl>
  <w:p w14:paraId="074C72BA" w14:textId="77777777" w:rsidR="00CA7882" w:rsidRPr="00F66F54" w:rsidRDefault="00CA7882" w:rsidP="00CA7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CE02D2" w:rsidRPr="009473FC" w14:paraId="47764A20" w14:textId="77777777" w:rsidTr="00BE3D05">
      <w:tc>
        <w:tcPr>
          <w:tcW w:w="4928" w:type="dxa"/>
        </w:tcPr>
        <w:p w14:paraId="0E3B40B6" w14:textId="77777777" w:rsidR="00CE02D2" w:rsidRPr="00CA7882" w:rsidRDefault="00CE02D2" w:rsidP="00DA3761">
          <w:pPr>
            <w:pStyle w:val="Footer"/>
            <w:rPr>
              <w:rFonts w:ascii="Verdana" w:hAnsi="Verdana"/>
              <w:color w:val="6C5C4C"/>
              <w:sz w:val="16"/>
              <w:szCs w:val="16"/>
            </w:rPr>
          </w:pPr>
          <w:r w:rsidRPr="00CA7882">
            <w:rPr>
              <w:rFonts w:ascii="Verdana" w:hAnsi="Verdana"/>
              <w:color w:val="6C5C4C"/>
              <w:sz w:val="16"/>
              <w:szCs w:val="16"/>
            </w:rPr>
            <w:t>MRC/CSO Social and Public Health Sciences Unit,</w:t>
          </w:r>
        </w:p>
        <w:p w14:paraId="122E2BA9" w14:textId="77777777" w:rsidR="00CE02D2" w:rsidRPr="00CA7882" w:rsidRDefault="00CE02D2" w:rsidP="00DA3761">
          <w:pPr>
            <w:pStyle w:val="Footer"/>
            <w:rPr>
              <w:rFonts w:ascii="Verdana" w:hAnsi="Verdana"/>
              <w:color w:val="6C5C4C"/>
              <w:sz w:val="16"/>
              <w:szCs w:val="16"/>
            </w:rPr>
          </w:pPr>
          <w:r w:rsidRPr="00CA7882">
            <w:rPr>
              <w:rFonts w:ascii="Verdana" w:hAnsi="Verdana"/>
              <w:color w:val="6C5C4C"/>
              <w:sz w:val="16"/>
              <w:szCs w:val="16"/>
            </w:rPr>
            <w:t>University of Glasgow,</w:t>
          </w:r>
        </w:p>
        <w:p w14:paraId="104DA5F3" w14:textId="77777777" w:rsidR="00E8301B" w:rsidRPr="00E8301B" w:rsidRDefault="00E8301B" w:rsidP="00E8301B">
          <w:pPr>
            <w:pStyle w:val="Footer"/>
            <w:rPr>
              <w:rFonts w:ascii="Verdana" w:hAnsi="Verdana"/>
              <w:color w:val="6C5C4C"/>
              <w:sz w:val="16"/>
              <w:szCs w:val="16"/>
            </w:rPr>
          </w:pPr>
          <w:r w:rsidRPr="00E8301B">
            <w:rPr>
              <w:rFonts w:ascii="Verdana" w:hAnsi="Verdana"/>
              <w:color w:val="6C5C4C"/>
              <w:sz w:val="16"/>
              <w:szCs w:val="16"/>
            </w:rPr>
            <w:t xml:space="preserve">Berkeley Square, </w:t>
          </w:r>
        </w:p>
        <w:p w14:paraId="0DE40D8F" w14:textId="77777777" w:rsidR="00E8301B" w:rsidRPr="003C2102" w:rsidRDefault="00E8301B" w:rsidP="00E8301B">
          <w:pPr>
            <w:pStyle w:val="Footer"/>
            <w:rPr>
              <w:rFonts w:ascii="Verdana" w:hAnsi="Verdana"/>
              <w:color w:val="6C5C4C"/>
              <w:sz w:val="16"/>
              <w:szCs w:val="16"/>
              <w:lang w:val="nl-NL"/>
            </w:rPr>
          </w:pPr>
          <w:r w:rsidRPr="003C2102">
            <w:rPr>
              <w:rFonts w:ascii="Verdana" w:hAnsi="Verdana"/>
              <w:color w:val="6C5C4C"/>
              <w:sz w:val="16"/>
              <w:szCs w:val="16"/>
              <w:lang w:val="nl-NL"/>
            </w:rPr>
            <w:t>99 Berkeley Street,</w:t>
          </w:r>
        </w:p>
        <w:p w14:paraId="00E8D5DC" w14:textId="77777777" w:rsidR="00CE02D2" w:rsidRPr="003C2102" w:rsidRDefault="00E8301B" w:rsidP="00E8301B">
          <w:pPr>
            <w:pStyle w:val="Footer"/>
            <w:rPr>
              <w:rFonts w:ascii="Verdana" w:hAnsi="Verdana"/>
              <w:color w:val="6C5C4C"/>
              <w:sz w:val="16"/>
              <w:szCs w:val="16"/>
              <w:lang w:val="nl-NL"/>
            </w:rPr>
          </w:pPr>
          <w:r w:rsidRPr="003C2102">
            <w:rPr>
              <w:rFonts w:ascii="Verdana" w:hAnsi="Verdana"/>
              <w:color w:val="6C5C4C"/>
              <w:sz w:val="16"/>
              <w:szCs w:val="16"/>
              <w:lang w:val="nl-NL"/>
            </w:rPr>
            <w:t>Glasgow G3 7HR</w:t>
          </w:r>
        </w:p>
      </w:tc>
      <w:tc>
        <w:tcPr>
          <w:tcW w:w="4819" w:type="dxa"/>
        </w:tcPr>
        <w:p w14:paraId="7F610128" w14:textId="77777777" w:rsidR="00CE02D2" w:rsidRPr="003C2102" w:rsidRDefault="004E7D26" w:rsidP="004C4D6E">
          <w:pPr>
            <w:pStyle w:val="Footer"/>
            <w:jc w:val="right"/>
            <w:rPr>
              <w:rFonts w:ascii="Verdana" w:hAnsi="Verdana"/>
              <w:color w:val="6C5C4C"/>
              <w:sz w:val="16"/>
              <w:szCs w:val="16"/>
              <w:lang w:val="nl-NL"/>
            </w:rPr>
          </w:pPr>
          <w:r w:rsidRPr="003C2102">
            <w:rPr>
              <w:rFonts w:ascii="Verdana" w:hAnsi="Verdana"/>
              <w:color w:val="6C5C4C"/>
              <w:sz w:val="16"/>
              <w:szCs w:val="16"/>
              <w:lang w:val="nl-NL"/>
            </w:rPr>
            <w:t>www.glasgow.ac.uk/sphsu</w:t>
          </w:r>
        </w:p>
      </w:tc>
    </w:tr>
  </w:tbl>
  <w:p w14:paraId="200696E7" w14:textId="77777777" w:rsidR="00CE02D2" w:rsidRPr="003C2102" w:rsidRDefault="00CE02D2">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5C42" w14:textId="77777777" w:rsidR="00083091" w:rsidRDefault="00083091" w:rsidP="00CA7882">
      <w:r>
        <w:separator/>
      </w:r>
    </w:p>
  </w:footnote>
  <w:footnote w:type="continuationSeparator" w:id="0">
    <w:p w14:paraId="6883A623" w14:textId="77777777" w:rsidR="00083091" w:rsidRDefault="00083091" w:rsidP="00CA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3CDF" w14:textId="1BE95EDA" w:rsidR="00445ADF" w:rsidRDefault="00445ADF">
    <w:pPr>
      <w:pStyle w:val="Header"/>
    </w:pPr>
    <w:r>
      <w:t xml:space="preserve">    </w:t>
    </w:r>
    <w:r w:rsidR="003C2102">
      <w:rPr>
        <w:noProof/>
      </w:rPr>
      <w:drawing>
        <wp:inline distT="0" distB="0" distL="0" distR="0" wp14:anchorId="62E89959" wp14:editId="4590A1B6">
          <wp:extent cx="3600198" cy="620320"/>
          <wp:effectExtent l="0" t="0" r="635" b="8890"/>
          <wp:docPr id="3" name="Picture 3" descr="Three blue logos of UKRI Medical Research Council, Chief Scientist Office and University of Glasgow. Above the 3 logos it says MRC/CSO Social and Public Health Sciences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ree blue logos of UKRI Medical Research Council, Chief Scientist Office and University of Glasgow. Above the 3 logos it says MRC/CSO Social and Public Health Sciences Unit."/>
                  <pic:cNvPicPr/>
                </pic:nvPicPr>
                <pic:blipFill>
                  <a:blip r:embed="rId1">
                    <a:extLst>
                      <a:ext uri="{28A0092B-C50C-407E-A947-70E740481C1C}">
                        <a14:useLocalDpi xmlns:a14="http://schemas.microsoft.com/office/drawing/2010/main" val="0"/>
                      </a:ext>
                    </a:extLst>
                  </a:blip>
                  <a:stretch>
                    <a:fillRect/>
                  </a:stretch>
                </pic:blipFill>
                <pic:spPr>
                  <a:xfrm>
                    <a:off x="0" y="0"/>
                    <a:ext cx="3788753" cy="6528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3A5C" w14:textId="77777777" w:rsidR="00CE02D2" w:rsidRDefault="004E7D26">
    <w:pPr>
      <w:pStyle w:val="Header"/>
    </w:pPr>
    <w:r>
      <w:rPr>
        <w:noProof/>
        <w:lang w:eastAsia="en-GB"/>
      </w:rPr>
      <w:drawing>
        <wp:inline distT="0" distB="0" distL="0" distR="0" wp14:anchorId="5B1458B7" wp14:editId="0FA5C8EB">
          <wp:extent cx="2749451" cy="628153"/>
          <wp:effectExtent l="0" t="0" r="0" b="635"/>
          <wp:docPr id="1" name="Picture 1" descr="Three blue logos of UKRI Medical Research Council, Chief Scientist Office and University of Glasgow. Above the 3 logos it says MRC/CSO Social and Public Health Sciences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ree blue logos of UKRI Medical Research Council, Chief Scientist Office and University of Glasgow. Above the 3 logos it says MRC/CSO Social and Public Health Sciences Unit."/>
                  <pic:cNvPicPr>
                    <a:picLocks noChangeAspect="1" noChangeArrowheads="1"/>
                  </pic:cNvPicPr>
                </pic:nvPicPr>
                <pic:blipFill rotWithShape="1">
                  <a:blip r:embed="rId1">
                    <a:extLst>
                      <a:ext uri="{28A0092B-C50C-407E-A947-70E740481C1C}">
                        <a14:useLocalDpi xmlns:a14="http://schemas.microsoft.com/office/drawing/2010/main" val="0"/>
                      </a:ext>
                    </a:extLst>
                  </a:blip>
                  <a:srcRect l="7936" t="17568" r="7302" b="19392"/>
                  <a:stretch/>
                </pic:blipFill>
                <pic:spPr bwMode="auto">
                  <a:xfrm>
                    <a:off x="0" y="0"/>
                    <a:ext cx="2749309" cy="628121"/>
                  </a:xfrm>
                  <a:prstGeom prst="rect">
                    <a:avLst/>
                  </a:prstGeom>
                  <a:noFill/>
                  <a:ln>
                    <a:noFill/>
                  </a:ln>
                  <a:extLst>
                    <a:ext uri="{53640926-AAD7-44D8-BBD7-CCE9431645EC}">
                      <a14:shadowObscured xmlns:a14="http://schemas.microsoft.com/office/drawing/2010/main"/>
                    </a:ext>
                  </a:extLst>
                </pic:spPr>
              </pic:pic>
            </a:graphicData>
          </a:graphic>
        </wp:inline>
      </w:drawing>
    </w:r>
    <w:r w:rsidR="00CE02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C6BC"/>
    <w:multiLevelType w:val="hybridMultilevel"/>
    <w:tmpl w:val="80F8494E"/>
    <w:lvl w:ilvl="0" w:tplc="AF1A256E">
      <w:start w:val="1"/>
      <w:numFmt w:val="bullet"/>
      <w:lvlText w:val=""/>
      <w:lvlJc w:val="left"/>
      <w:pPr>
        <w:ind w:left="720" w:hanging="360"/>
      </w:pPr>
      <w:rPr>
        <w:rFonts w:ascii="Symbol" w:hAnsi="Symbol" w:hint="default"/>
      </w:rPr>
    </w:lvl>
    <w:lvl w:ilvl="1" w:tplc="5A26CBFE">
      <w:start w:val="1"/>
      <w:numFmt w:val="bullet"/>
      <w:lvlText w:val="o"/>
      <w:lvlJc w:val="left"/>
      <w:pPr>
        <w:ind w:left="1440" w:hanging="360"/>
      </w:pPr>
      <w:rPr>
        <w:rFonts w:ascii="Courier New" w:hAnsi="Courier New" w:hint="default"/>
      </w:rPr>
    </w:lvl>
    <w:lvl w:ilvl="2" w:tplc="47F88BC2">
      <w:start w:val="1"/>
      <w:numFmt w:val="bullet"/>
      <w:lvlText w:val=""/>
      <w:lvlJc w:val="left"/>
      <w:pPr>
        <w:ind w:left="2160" w:hanging="360"/>
      </w:pPr>
      <w:rPr>
        <w:rFonts w:ascii="Wingdings" w:hAnsi="Wingdings" w:hint="default"/>
      </w:rPr>
    </w:lvl>
    <w:lvl w:ilvl="3" w:tplc="22381C78">
      <w:start w:val="1"/>
      <w:numFmt w:val="bullet"/>
      <w:lvlText w:val=""/>
      <w:lvlJc w:val="left"/>
      <w:pPr>
        <w:ind w:left="2880" w:hanging="360"/>
      </w:pPr>
      <w:rPr>
        <w:rFonts w:ascii="Symbol" w:hAnsi="Symbol" w:hint="default"/>
      </w:rPr>
    </w:lvl>
    <w:lvl w:ilvl="4" w:tplc="8AF0B4A2">
      <w:start w:val="1"/>
      <w:numFmt w:val="bullet"/>
      <w:lvlText w:val="o"/>
      <w:lvlJc w:val="left"/>
      <w:pPr>
        <w:ind w:left="3600" w:hanging="360"/>
      </w:pPr>
      <w:rPr>
        <w:rFonts w:ascii="Courier New" w:hAnsi="Courier New" w:hint="default"/>
      </w:rPr>
    </w:lvl>
    <w:lvl w:ilvl="5" w:tplc="1820E0E2">
      <w:start w:val="1"/>
      <w:numFmt w:val="bullet"/>
      <w:lvlText w:val=""/>
      <w:lvlJc w:val="left"/>
      <w:pPr>
        <w:ind w:left="4320" w:hanging="360"/>
      </w:pPr>
      <w:rPr>
        <w:rFonts w:ascii="Wingdings" w:hAnsi="Wingdings" w:hint="default"/>
      </w:rPr>
    </w:lvl>
    <w:lvl w:ilvl="6" w:tplc="CABC35C2">
      <w:start w:val="1"/>
      <w:numFmt w:val="bullet"/>
      <w:lvlText w:val=""/>
      <w:lvlJc w:val="left"/>
      <w:pPr>
        <w:ind w:left="5040" w:hanging="360"/>
      </w:pPr>
      <w:rPr>
        <w:rFonts w:ascii="Symbol" w:hAnsi="Symbol" w:hint="default"/>
      </w:rPr>
    </w:lvl>
    <w:lvl w:ilvl="7" w:tplc="DB365644">
      <w:start w:val="1"/>
      <w:numFmt w:val="bullet"/>
      <w:lvlText w:val="o"/>
      <w:lvlJc w:val="left"/>
      <w:pPr>
        <w:ind w:left="5760" w:hanging="360"/>
      </w:pPr>
      <w:rPr>
        <w:rFonts w:ascii="Courier New" w:hAnsi="Courier New" w:hint="default"/>
      </w:rPr>
    </w:lvl>
    <w:lvl w:ilvl="8" w:tplc="D12E6DD2">
      <w:start w:val="1"/>
      <w:numFmt w:val="bullet"/>
      <w:lvlText w:val=""/>
      <w:lvlJc w:val="left"/>
      <w:pPr>
        <w:ind w:left="6480" w:hanging="360"/>
      </w:pPr>
      <w:rPr>
        <w:rFonts w:ascii="Wingdings" w:hAnsi="Wingdings" w:hint="default"/>
      </w:rPr>
    </w:lvl>
  </w:abstractNum>
  <w:abstractNum w:abstractNumId="1" w15:restartNumberingAfterBreak="0">
    <w:nsid w:val="18966C6D"/>
    <w:multiLevelType w:val="hybridMultilevel"/>
    <w:tmpl w:val="D7CE9A1A"/>
    <w:lvl w:ilvl="0" w:tplc="FC54E342">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F40ABB"/>
    <w:multiLevelType w:val="hybridMultilevel"/>
    <w:tmpl w:val="91DAE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6B64F7"/>
    <w:multiLevelType w:val="hybridMultilevel"/>
    <w:tmpl w:val="56E0567E"/>
    <w:lvl w:ilvl="0" w:tplc="B73E4680">
      <w:start w:val="1"/>
      <w:numFmt w:val="bullet"/>
      <w:lvlText w:val=""/>
      <w:lvlJc w:val="left"/>
      <w:pPr>
        <w:ind w:left="720" w:hanging="360"/>
      </w:pPr>
      <w:rPr>
        <w:rFonts w:ascii="Symbol" w:hAnsi="Symbol" w:hint="default"/>
      </w:rPr>
    </w:lvl>
    <w:lvl w:ilvl="1" w:tplc="26E6ADB4">
      <w:start w:val="1"/>
      <w:numFmt w:val="bullet"/>
      <w:lvlText w:val="o"/>
      <w:lvlJc w:val="left"/>
      <w:pPr>
        <w:ind w:left="1440" w:hanging="360"/>
      </w:pPr>
      <w:rPr>
        <w:rFonts w:ascii="Courier New" w:hAnsi="Courier New" w:hint="default"/>
      </w:rPr>
    </w:lvl>
    <w:lvl w:ilvl="2" w:tplc="5504ED2E">
      <w:start w:val="1"/>
      <w:numFmt w:val="bullet"/>
      <w:lvlText w:val=""/>
      <w:lvlJc w:val="left"/>
      <w:pPr>
        <w:ind w:left="2160" w:hanging="360"/>
      </w:pPr>
      <w:rPr>
        <w:rFonts w:ascii="Wingdings" w:hAnsi="Wingdings" w:hint="default"/>
      </w:rPr>
    </w:lvl>
    <w:lvl w:ilvl="3" w:tplc="C3A4EF96">
      <w:start w:val="1"/>
      <w:numFmt w:val="bullet"/>
      <w:lvlText w:val=""/>
      <w:lvlJc w:val="left"/>
      <w:pPr>
        <w:ind w:left="2880" w:hanging="360"/>
      </w:pPr>
      <w:rPr>
        <w:rFonts w:ascii="Symbol" w:hAnsi="Symbol" w:hint="default"/>
      </w:rPr>
    </w:lvl>
    <w:lvl w:ilvl="4" w:tplc="0AF01D32">
      <w:start w:val="1"/>
      <w:numFmt w:val="bullet"/>
      <w:lvlText w:val="o"/>
      <w:lvlJc w:val="left"/>
      <w:pPr>
        <w:ind w:left="3600" w:hanging="360"/>
      </w:pPr>
      <w:rPr>
        <w:rFonts w:ascii="Courier New" w:hAnsi="Courier New" w:hint="default"/>
      </w:rPr>
    </w:lvl>
    <w:lvl w:ilvl="5" w:tplc="57944392">
      <w:start w:val="1"/>
      <w:numFmt w:val="bullet"/>
      <w:lvlText w:val=""/>
      <w:lvlJc w:val="left"/>
      <w:pPr>
        <w:ind w:left="4320" w:hanging="360"/>
      </w:pPr>
      <w:rPr>
        <w:rFonts w:ascii="Wingdings" w:hAnsi="Wingdings" w:hint="default"/>
      </w:rPr>
    </w:lvl>
    <w:lvl w:ilvl="6" w:tplc="BDECBC96">
      <w:start w:val="1"/>
      <w:numFmt w:val="bullet"/>
      <w:lvlText w:val=""/>
      <w:lvlJc w:val="left"/>
      <w:pPr>
        <w:ind w:left="5040" w:hanging="360"/>
      </w:pPr>
      <w:rPr>
        <w:rFonts w:ascii="Symbol" w:hAnsi="Symbol" w:hint="default"/>
      </w:rPr>
    </w:lvl>
    <w:lvl w:ilvl="7" w:tplc="361E93B2">
      <w:start w:val="1"/>
      <w:numFmt w:val="bullet"/>
      <w:lvlText w:val="o"/>
      <w:lvlJc w:val="left"/>
      <w:pPr>
        <w:ind w:left="5760" w:hanging="360"/>
      </w:pPr>
      <w:rPr>
        <w:rFonts w:ascii="Courier New" w:hAnsi="Courier New" w:hint="default"/>
      </w:rPr>
    </w:lvl>
    <w:lvl w:ilvl="8" w:tplc="ABE041A8">
      <w:start w:val="1"/>
      <w:numFmt w:val="bullet"/>
      <w:lvlText w:val=""/>
      <w:lvlJc w:val="left"/>
      <w:pPr>
        <w:ind w:left="6480" w:hanging="360"/>
      </w:pPr>
      <w:rPr>
        <w:rFonts w:ascii="Wingdings" w:hAnsi="Wingdings" w:hint="default"/>
      </w:rPr>
    </w:lvl>
  </w:abstractNum>
  <w:num w:numId="1" w16cid:durableId="504176752">
    <w:abstractNumId w:val="2"/>
  </w:num>
  <w:num w:numId="2" w16cid:durableId="1308557597">
    <w:abstractNumId w:val="1"/>
  </w:num>
  <w:num w:numId="3" w16cid:durableId="2131849591">
    <w:abstractNumId w:val="0"/>
  </w:num>
  <w:num w:numId="4" w16cid:durableId="1840996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82"/>
    <w:rsid w:val="00006F52"/>
    <w:rsid w:val="00083091"/>
    <w:rsid w:val="001366F5"/>
    <w:rsid w:val="00171920"/>
    <w:rsid w:val="00184F2C"/>
    <w:rsid w:val="001B4D16"/>
    <w:rsid w:val="002110BD"/>
    <w:rsid w:val="00214009"/>
    <w:rsid w:val="00282AFC"/>
    <w:rsid w:val="00282F91"/>
    <w:rsid w:val="00284F21"/>
    <w:rsid w:val="002E35C9"/>
    <w:rsid w:val="0031489F"/>
    <w:rsid w:val="0031689B"/>
    <w:rsid w:val="003A3284"/>
    <w:rsid w:val="003C2102"/>
    <w:rsid w:val="00445ADF"/>
    <w:rsid w:val="0047246C"/>
    <w:rsid w:val="004C4D6E"/>
    <w:rsid w:val="004E7D26"/>
    <w:rsid w:val="00532A49"/>
    <w:rsid w:val="0053685F"/>
    <w:rsid w:val="005435BA"/>
    <w:rsid w:val="005C29C2"/>
    <w:rsid w:val="0069065B"/>
    <w:rsid w:val="00695213"/>
    <w:rsid w:val="00707BB1"/>
    <w:rsid w:val="00717B85"/>
    <w:rsid w:val="007B7B64"/>
    <w:rsid w:val="007D5EBA"/>
    <w:rsid w:val="00821FC2"/>
    <w:rsid w:val="008625BC"/>
    <w:rsid w:val="008B1120"/>
    <w:rsid w:val="00903BF5"/>
    <w:rsid w:val="009473FC"/>
    <w:rsid w:val="009C74F5"/>
    <w:rsid w:val="00A659C3"/>
    <w:rsid w:val="00A66B31"/>
    <w:rsid w:val="00A87400"/>
    <w:rsid w:val="00AB39B3"/>
    <w:rsid w:val="00AE210B"/>
    <w:rsid w:val="00AF21D6"/>
    <w:rsid w:val="00B07983"/>
    <w:rsid w:val="00B258FC"/>
    <w:rsid w:val="00B80A48"/>
    <w:rsid w:val="00B9467B"/>
    <w:rsid w:val="00B9774F"/>
    <w:rsid w:val="00BB06B4"/>
    <w:rsid w:val="00BE1408"/>
    <w:rsid w:val="00BE2B43"/>
    <w:rsid w:val="00BE3D05"/>
    <w:rsid w:val="00C22A03"/>
    <w:rsid w:val="00C5070B"/>
    <w:rsid w:val="00C9742B"/>
    <w:rsid w:val="00CA7882"/>
    <w:rsid w:val="00CE02D2"/>
    <w:rsid w:val="00D45809"/>
    <w:rsid w:val="00D55BC9"/>
    <w:rsid w:val="00D84A91"/>
    <w:rsid w:val="00DA4C3C"/>
    <w:rsid w:val="00E616C9"/>
    <w:rsid w:val="00E637CD"/>
    <w:rsid w:val="00E8301B"/>
    <w:rsid w:val="00E86820"/>
    <w:rsid w:val="00E94A48"/>
    <w:rsid w:val="00ED4C57"/>
    <w:rsid w:val="00EE3332"/>
    <w:rsid w:val="00F66F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478F"/>
  <w15:docId w15:val="{8C2160FB-EAB4-41FA-8F5C-068BB5C2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82"/>
    <w:pPr>
      <w:ind w:left="720"/>
    </w:pPr>
  </w:style>
  <w:style w:type="paragraph" w:styleId="Header">
    <w:name w:val="header"/>
    <w:basedOn w:val="Normal"/>
    <w:link w:val="HeaderChar"/>
    <w:uiPriority w:val="99"/>
    <w:unhideWhenUsed/>
    <w:rsid w:val="00CA7882"/>
    <w:pPr>
      <w:tabs>
        <w:tab w:val="center" w:pos="4513"/>
        <w:tab w:val="right" w:pos="9026"/>
      </w:tabs>
    </w:pPr>
  </w:style>
  <w:style w:type="character" w:customStyle="1" w:styleId="HeaderChar">
    <w:name w:val="Header Char"/>
    <w:basedOn w:val="DefaultParagraphFont"/>
    <w:link w:val="Header"/>
    <w:uiPriority w:val="99"/>
    <w:rsid w:val="00CA7882"/>
    <w:rPr>
      <w:rFonts w:ascii="Calibri" w:hAnsi="Calibri" w:cs="Times New Roman"/>
    </w:rPr>
  </w:style>
  <w:style w:type="paragraph" w:styleId="Footer">
    <w:name w:val="footer"/>
    <w:basedOn w:val="Normal"/>
    <w:link w:val="FooterChar"/>
    <w:uiPriority w:val="99"/>
    <w:unhideWhenUsed/>
    <w:rsid w:val="00CA7882"/>
    <w:pPr>
      <w:tabs>
        <w:tab w:val="center" w:pos="4513"/>
        <w:tab w:val="right" w:pos="9026"/>
      </w:tabs>
    </w:pPr>
  </w:style>
  <w:style w:type="character" w:customStyle="1" w:styleId="FooterChar">
    <w:name w:val="Footer Char"/>
    <w:basedOn w:val="DefaultParagraphFont"/>
    <w:link w:val="Footer"/>
    <w:uiPriority w:val="99"/>
    <w:rsid w:val="00CA7882"/>
    <w:rPr>
      <w:rFonts w:ascii="Calibri" w:hAnsi="Calibri" w:cs="Times New Roman"/>
    </w:rPr>
  </w:style>
  <w:style w:type="table" w:styleId="TableGrid">
    <w:name w:val="Table Grid"/>
    <w:basedOn w:val="TableNormal"/>
    <w:uiPriority w:val="59"/>
    <w:rsid w:val="00CA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5ADF"/>
    <w:rPr>
      <w:rFonts w:ascii="Tahoma" w:hAnsi="Tahoma" w:cs="Tahoma"/>
      <w:sz w:val="16"/>
      <w:szCs w:val="16"/>
    </w:rPr>
  </w:style>
  <w:style w:type="character" w:customStyle="1" w:styleId="BalloonTextChar">
    <w:name w:val="Balloon Text Char"/>
    <w:basedOn w:val="DefaultParagraphFont"/>
    <w:link w:val="BalloonText"/>
    <w:uiPriority w:val="99"/>
    <w:semiHidden/>
    <w:rsid w:val="00445ADF"/>
    <w:rPr>
      <w:rFonts w:ascii="Tahoma" w:hAnsi="Tahoma" w:cs="Tahoma"/>
      <w:sz w:val="16"/>
      <w:szCs w:val="16"/>
    </w:rPr>
  </w:style>
  <w:style w:type="character" w:styleId="Hyperlink">
    <w:name w:val="Hyperlink"/>
    <w:basedOn w:val="DefaultParagraphFont"/>
    <w:uiPriority w:val="99"/>
    <w:unhideWhenUsed/>
    <w:rsid w:val="00ED4C57"/>
    <w:rPr>
      <w:color w:val="0000FF"/>
      <w:u w:val="single"/>
    </w:rPr>
  </w:style>
  <w:style w:type="paragraph" w:customStyle="1" w:styleId="Default">
    <w:name w:val="Default"/>
    <w:rsid w:val="00AB39B3"/>
    <w:pPr>
      <w:autoSpaceDE w:val="0"/>
      <w:autoSpaceDN w:val="0"/>
      <w:adjustRightInd w:val="0"/>
      <w:spacing w:after="0" w:line="240" w:lineRule="auto"/>
    </w:pPr>
    <w:rPr>
      <w:rFonts w:ascii="Arial" w:eastAsiaTheme="minorEastAsia" w:hAnsi="Arial" w:cs="Arial"/>
      <w:color w:val="000000"/>
      <w:sz w:val="24"/>
      <w:szCs w:val="24"/>
      <w:lang w:eastAsia="zh-CN"/>
      <w14:ligatures w14:val="standardContextual"/>
    </w:rPr>
  </w:style>
  <w:style w:type="character" w:styleId="UnresolvedMention">
    <w:name w:val="Unresolved Mention"/>
    <w:basedOn w:val="DefaultParagraphFont"/>
    <w:uiPriority w:val="99"/>
    <w:semiHidden/>
    <w:unhideWhenUsed/>
    <w:rsid w:val="00AB39B3"/>
    <w:rPr>
      <w:color w:val="605E5C"/>
      <w:shd w:val="clear" w:color="auto" w:fill="E1DFDD"/>
    </w:rPr>
  </w:style>
  <w:style w:type="character" w:customStyle="1" w:styleId="cf01">
    <w:name w:val="cf01"/>
    <w:basedOn w:val="DefaultParagraphFont"/>
    <w:rsid w:val="00AB39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00905">
      <w:bodyDiv w:val="1"/>
      <w:marLeft w:val="0"/>
      <w:marRight w:val="0"/>
      <w:marTop w:val="0"/>
      <w:marBottom w:val="0"/>
      <w:divBdr>
        <w:top w:val="none" w:sz="0" w:space="0" w:color="auto"/>
        <w:left w:val="none" w:sz="0" w:space="0" w:color="auto"/>
        <w:bottom w:val="none" w:sz="0" w:space="0" w:color="auto"/>
        <w:right w:val="none" w:sz="0" w:space="0" w:color="auto"/>
      </w:divBdr>
      <w:divsChild>
        <w:div w:id="1834182545">
          <w:marLeft w:val="0"/>
          <w:marRight w:val="0"/>
          <w:marTop w:val="0"/>
          <w:marBottom w:val="0"/>
          <w:divBdr>
            <w:top w:val="none" w:sz="0" w:space="0" w:color="auto"/>
            <w:left w:val="none" w:sz="0" w:space="0" w:color="auto"/>
            <w:bottom w:val="none" w:sz="0" w:space="0" w:color="auto"/>
            <w:right w:val="none" w:sz="0" w:space="0" w:color="auto"/>
          </w:divBdr>
        </w:div>
        <w:div w:id="1113675727">
          <w:marLeft w:val="0"/>
          <w:marRight w:val="0"/>
          <w:marTop w:val="0"/>
          <w:marBottom w:val="0"/>
          <w:divBdr>
            <w:top w:val="none" w:sz="0" w:space="0" w:color="auto"/>
            <w:left w:val="none" w:sz="0" w:space="0" w:color="auto"/>
            <w:bottom w:val="none" w:sz="0" w:space="0" w:color="auto"/>
            <w:right w:val="none" w:sz="0" w:space="0" w:color="auto"/>
          </w:divBdr>
        </w:div>
      </w:divsChild>
    </w:div>
    <w:div w:id="1160657242">
      <w:bodyDiv w:val="1"/>
      <w:marLeft w:val="0"/>
      <w:marRight w:val="0"/>
      <w:marTop w:val="0"/>
      <w:marBottom w:val="0"/>
      <w:divBdr>
        <w:top w:val="none" w:sz="0" w:space="0" w:color="auto"/>
        <w:left w:val="none" w:sz="0" w:space="0" w:color="auto"/>
        <w:bottom w:val="none" w:sz="0" w:space="0" w:color="auto"/>
        <w:right w:val="none" w:sz="0" w:space="0" w:color="auto"/>
      </w:divBdr>
      <w:divsChild>
        <w:div w:id="230240303">
          <w:marLeft w:val="0"/>
          <w:marRight w:val="0"/>
          <w:marTop w:val="0"/>
          <w:marBottom w:val="0"/>
          <w:divBdr>
            <w:top w:val="none" w:sz="0" w:space="0" w:color="auto"/>
            <w:left w:val="none" w:sz="0" w:space="0" w:color="auto"/>
            <w:bottom w:val="none" w:sz="0" w:space="0" w:color="auto"/>
            <w:right w:val="none" w:sz="0" w:space="0" w:color="auto"/>
          </w:divBdr>
        </w:div>
        <w:div w:id="588544220">
          <w:marLeft w:val="0"/>
          <w:marRight w:val="0"/>
          <w:marTop w:val="0"/>
          <w:marBottom w:val="0"/>
          <w:divBdr>
            <w:top w:val="none" w:sz="0" w:space="0" w:color="auto"/>
            <w:left w:val="none" w:sz="0" w:space="0" w:color="auto"/>
            <w:bottom w:val="none" w:sz="0" w:space="0" w:color="auto"/>
            <w:right w:val="none" w:sz="0" w:space="0" w:color="auto"/>
          </w:divBdr>
        </w:div>
      </w:divsChild>
    </w:div>
    <w:div w:id="19708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ocscimed.2022.115502" TargetMode="External"/><Relationship Id="rId13" Type="http://schemas.openxmlformats.org/officeDocument/2006/relationships/hyperlink" Target="http://www.gla.ac.uk/slld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scot/publications/local-living-20-minute-neighbourhoods-planning-guidance/pages/10/" TargetMode="External"/><Relationship Id="rId12" Type="http://schemas.openxmlformats.org/officeDocument/2006/relationships/hyperlink" Target="https://doi.org/10.1016/j.envres.2022.1136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ort.gov.scot/media/48317/sct09201490081.pdf" TargetMode="External"/><Relationship Id="rId5" Type="http://schemas.openxmlformats.org/officeDocument/2006/relationships/footnotes" Target="footnotes.xml"/><Relationship Id="rId15" Type="http://schemas.openxmlformats.org/officeDocument/2006/relationships/hyperlink" Target="mailto:Jonathan.Olsen@glasgow.ac.uk" TargetMode="External"/><Relationship Id="rId10" Type="http://schemas.openxmlformats.org/officeDocument/2006/relationships/hyperlink" Target="https://www.planmelbourne.vic.gov.au/__data/assets/pdf_file/0018/515241/Creating-a-more-liveable-Melbourne.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6084/m9.figshare.21897411.v1" TargetMode="External"/><Relationship Id="rId14" Type="http://schemas.openxmlformats.org/officeDocument/2006/relationships/hyperlink" Target="https://www.gla.ac.uk/schools/healthwellbeing/research/mrccsosocialandpublichealthsciencesunit/programmes/pl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1807</Words>
  <Characters>10305</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4</cp:revision>
  <dcterms:created xsi:type="dcterms:W3CDTF">2023-07-21T14:10:00Z</dcterms:created>
  <dcterms:modified xsi:type="dcterms:W3CDTF">2023-07-21T14:23:00Z</dcterms:modified>
</cp:coreProperties>
</file>