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E17D" w14:textId="77777777" w:rsidR="0077102E" w:rsidRDefault="0077102E">
      <w:pPr>
        <w:pStyle w:val="BodyText"/>
        <w:rPr>
          <w:rFonts w:ascii="Times New Roman"/>
          <w:sz w:val="20"/>
        </w:rPr>
      </w:pPr>
    </w:p>
    <w:p w14:paraId="3720E17E" w14:textId="77777777" w:rsidR="0077102E" w:rsidRDefault="0077102E">
      <w:pPr>
        <w:pStyle w:val="BodyText"/>
        <w:rPr>
          <w:rFonts w:ascii="Times New Roman"/>
          <w:sz w:val="24"/>
        </w:rPr>
      </w:pPr>
    </w:p>
    <w:p w14:paraId="3720E17F" w14:textId="77777777" w:rsidR="0077102E" w:rsidRDefault="00000000">
      <w:pPr>
        <w:pStyle w:val="Title"/>
      </w:pPr>
      <w:r>
        <w:t>MRC/CSO</w:t>
      </w:r>
      <w:r>
        <w:rPr>
          <w:spacing w:val="-6"/>
        </w:rPr>
        <w:t xml:space="preserve"> </w:t>
      </w:r>
      <w:r>
        <w:t>Social</w:t>
      </w:r>
      <w:r>
        <w:rPr>
          <w:spacing w:val="-6"/>
        </w:rPr>
        <w:t xml:space="preserve"> </w:t>
      </w:r>
      <w:r>
        <w:t>and</w:t>
      </w:r>
      <w:r>
        <w:rPr>
          <w:spacing w:val="-4"/>
        </w:rPr>
        <w:t xml:space="preserve"> </w:t>
      </w:r>
      <w:r>
        <w:t>Public</w:t>
      </w:r>
      <w:r>
        <w:rPr>
          <w:spacing w:val="-6"/>
        </w:rPr>
        <w:t xml:space="preserve"> </w:t>
      </w:r>
      <w:r>
        <w:t>Health</w:t>
      </w:r>
      <w:r>
        <w:rPr>
          <w:spacing w:val="-8"/>
        </w:rPr>
        <w:t xml:space="preserve"> </w:t>
      </w:r>
      <w:r>
        <w:t>Sciences</w:t>
      </w:r>
      <w:r>
        <w:rPr>
          <w:spacing w:val="-6"/>
        </w:rPr>
        <w:t xml:space="preserve"> </w:t>
      </w:r>
      <w:r>
        <w:t>Unit Consultation Response</w:t>
      </w:r>
    </w:p>
    <w:p w14:paraId="3720E180" w14:textId="77777777" w:rsidR="0077102E" w:rsidRDefault="0077102E">
      <w:pPr>
        <w:rPr>
          <w:b/>
          <w:sz w:val="20"/>
        </w:rPr>
      </w:pPr>
    </w:p>
    <w:p w14:paraId="3720E181" w14:textId="77777777" w:rsidR="0077102E" w:rsidRDefault="0077102E">
      <w:pPr>
        <w:spacing w:before="2" w:after="1"/>
        <w:rPr>
          <w:b/>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77102E" w14:paraId="3720E183" w14:textId="77777777">
        <w:trPr>
          <w:trHeight w:val="275"/>
        </w:trPr>
        <w:tc>
          <w:tcPr>
            <w:tcW w:w="9516" w:type="dxa"/>
          </w:tcPr>
          <w:p w14:paraId="3720E182" w14:textId="77777777" w:rsidR="0077102E" w:rsidRDefault="00000000">
            <w:pPr>
              <w:pStyle w:val="TableParagraph"/>
              <w:spacing w:line="256" w:lineRule="exact"/>
              <w:rPr>
                <w:b/>
                <w:sz w:val="24"/>
              </w:rPr>
            </w:pPr>
            <w:r>
              <w:rPr>
                <w:b/>
                <w:sz w:val="24"/>
              </w:rPr>
              <w:t>Title</w:t>
            </w:r>
            <w:r>
              <w:rPr>
                <w:b/>
                <w:spacing w:val="-3"/>
                <w:sz w:val="24"/>
              </w:rPr>
              <w:t xml:space="preserve"> </w:t>
            </w:r>
            <w:r>
              <w:rPr>
                <w:b/>
                <w:sz w:val="24"/>
              </w:rPr>
              <w:t>of</w:t>
            </w:r>
            <w:r>
              <w:rPr>
                <w:b/>
                <w:spacing w:val="3"/>
                <w:sz w:val="24"/>
              </w:rPr>
              <w:t xml:space="preserve"> </w:t>
            </w:r>
            <w:r>
              <w:rPr>
                <w:b/>
                <w:spacing w:val="-2"/>
                <w:sz w:val="24"/>
              </w:rPr>
              <w:t>consultation</w:t>
            </w:r>
          </w:p>
        </w:tc>
      </w:tr>
      <w:tr w:rsidR="0077102E" w14:paraId="3720E185" w14:textId="77777777">
        <w:trPr>
          <w:trHeight w:val="546"/>
        </w:trPr>
        <w:tc>
          <w:tcPr>
            <w:tcW w:w="9516" w:type="dxa"/>
          </w:tcPr>
          <w:p w14:paraId="3720E184" w14:textId="77777777" w:rsidR="0077102E" w:rsidRDefault="00000000">
            <w:pPr>
              <w:pStyle w:val="TableParagraph"/>
            </w:pPr>
            <w:r>
              <w:t>Proposed</w:t>
            </w:r>
            <w:r>
              <w:rPr>
                <w:spacing w:val="-5"/>
              </w:rPr>
              <w:t xml:space="preserve"> </w:t>
            </w:r>
            <w:r>
              <w:t>changes</w:t>
            </w:r>
            <w:r>
              <w:rPr>
                <w:spacing w:val="-8"/>
              </w:rPr>
              <w:t xml:space="preserve"> </w:t>
            </w:r>
            <w:r>
              <w:t>to</w:t>
            </w:r>
            <w:r>
              <w:rPr>
                <w:spacing w:val="-5"/>
              </w:rPr>
              <w:t xml:space="preserve"> </w:t>
            </w:r>
            <w:r>
              <w:t>how</w:t>
            </w:r>
            <w:r>
              <w:rPr>
                <w:spacing w:val="-8"/>
              </w:rPr>
              <w:t xml:space="preserve"> </w:t>
            </w:r>
            <w:r>
              <w:t>smoking-attributable</w:t>
            </w:r>
            <w:r>
              <w:rPr>
                <w:spacing w:val="-6"/>
              </w:rPr>
              <w:t xml:space="preserve"> </w:t>
            </w:r>
            <w:r>
              <w:t>risk</w:t>
            </w:r>
            <w:r>
              <w:rPr>
                <w:spacing w:val="-4"/>
              </w:rPr>
              <w:t xml:space="preserve"> </w:t>
            </w:r>
            <w:r>
              <w:t>is</w:t>
            </w:r>
            <w:r>
              <w:rPr>
                <w:spacing w:val="-3"/>
              </w:rPr>
              <w:t xml:space="preserve"> </w:t>
            </w:r>
            <w:r>
              <w:rPr>
                <w:spacing w:val="-2"/>
              </w:rPr>
              <w:t>calculated</w:t>
            </w:r>
          </w:p>
        </w:tc>
      </w:tr>
      <w:tr w:rsidR="0077102E" w14:paraId="3720E187" w14:textId="77777777">
        <w:trPr>
          <w:trHeight w:val="405"/>
        </w:trPr>
        <w:tc>
          <w:tcPr>
            <w:tcW w:w="9516" w:type="dxa"/>
          </w:tcPr>
          <w:p w14:paraId="3720E186" w14:textId="77777777" w:rsidR="0077102E" w:rsidRDefault="00000000">
            <w:pPr>
              <w:pStyle w:val="TableParagraph"/>
              <w:spacing w:before="62"/>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77102E" w14:paraId="3720E189" w14:textId="77777777">
        <w:trPr>
          <w:trHeight w:val="570"/>
        </w:trPr>
        <w:tc>
          <w:tcPr>
            <w:tcW w:w="9516" w:type="dxa"/>
          </w:tcPr>
          <w:p w14:paraId="3720E188" w14:textId="77777777" w:rsidR="0077102E" w:rsidRDefault="00000000">
            <w:pPr>
              <w:pStyle w:val="TableParagraph"/>
              <w:spacing w:line="250" w:lineRule="exact"/>
            </w:pPr>
            <w:r>
              <w:t>Public</w:t>
            </w:r>
            <w:r>
              <w:rPr>
                <w:spacing w:val="-6"/>
              </w:rPr>
              <w:t xml:space="preserve"> </w:t>
            </w:r>
            <w:r>
              <w:t>Health</w:t>
            </w:r>
            <w:r>
              <w:rPr>
                <w:spacing w:val="-6"/>
              </w:rPr>
              <w:t xml:space="preserve"> </w:t>
            </w:r>
            <w:r>
              <w:rPr>
                <w:spacing w:val="-2"/>
              </w:rPr>
              <w:t>England</w:t>
            </w:r>
          </w:p>
        </w:tc>
      </w:tr>
      <w:tr w:rsidR="0077102E" w14:paraId="3720E18B" w14:textId="77777777">
        <w:trPr>
          <w:trHeight w:val="424"/>
        </w:trPr>
        <w:tc>
          <w:tcPr>
            <w:tcW w:w="9516" w:type="dxa"/>
          </w:tcPr>
          <w:p w14:paraId="3720E18A" w14:textId="77777777" w:rsidR="0077102E" w:rsidRDefault="00000000">
            <w:pPr>
              <w:pStyle w:val="TableParagraph"/>
              <w:spacing w:before="72"/>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77102E" w14:paraId="3720E18D" w14:textId="77777777">
        <w:trPr>
          <w:trHeight w:val="559"/>
        </w:trPr>
        <w:tc>
          <w:tcPr>
            <w:tcW w:w="9516" w:type="dxa"/>
          </w:tcPr>
          <w:p w14:paraId="3720E18C" w14:textId="77777777" w:rsidR="0077102E" w:rsidRDefault="00000000">
            <w:pPr>
              <w:pStyle w:val="TableParagraph"/>
              <w:ind w:right="231"/>
            </w:pPr>
            <w:hyperlink r:id="rId6">
              <w:r>
                <w:rPr>
                  <w:color w:val="0000FF"/>
                  <w:spacing w:val="-2"/>
                  <w:u w:val="single" w:color="0000FF"/>
                </w:rPr>
                <w:t>https://www.gov.uk/government/consultations/proposed-changes-to-how-smoking-attributable-</w:t>
              </w:r>
            </w:hyperlink>
            <w:r>
              <w:rPr>
                <w:color w:val="0000FF"/>
                <w:spacing w:val="-2"/>
              </w:rPr>
              <w:t xml:space="preserve"> </w:t>
            </w:r>
            <w:hyperlink r:id="rId7">
              <w:r>
                <w:rPr>
                  <w:color w:val="0000FF"/>
                  <w:spacing w:val="-2"/>
                  <w:u w:val="single" w:color="0000FF"/>
                </w:rPr>
                <w:t>risk-is-calculated</w:t>
              </w:r>
            </w:hyperlink>
          </w:p>
        </w:tc>
      </w:tr>
      <w:tr w:rsidR="0077102E" w14:paraId="3720E18F" w14:textId="77777777">
        <w:trPr>
          <w:trHeight w:val="563"/>
        </w:trPr>
        <w:tc>
          <w:tcPr>
            <w:tcW w:w="9516" w:type="dxa"/>
          </w:tcPr>
          <w:p w14:paraId="3720E18E" w14:textId="77777777" w:rsidR="0077102E" w:rsidRDefault="00000000">
            <w:pPr>
              <w:pStyle w:val="TableParagraph"/>
              <w:spacing w:line="270" w:lineRule="atLeast"/>
              <w:rPr>
                <w:b/>
                <w:sz w:val="24"/>
              </w:rPr>
            </w:pPr>
            <w:r>
              <w:rPr>
                <w:b/>
                <w:sz w:val="24"/>
              </w:rPr>
              <w:t>Why</w:t>
            </w:r>
            <w:r>
              <w:rPr>
                <w:b/>
                <w:spacing w:val="-9"/>
                <w:sz w:val="24"/>
              </w:rPr>
              <w:t xml:space="preserve"> </w:t>
            </w:r>
            <w:r>
              <w:rPr>
                <w:b/>
                <w:sz w:val="24"/>
              </w:rPr>
              <w:t>did</w:t>
            </w:r>
            <w:r>
              <w:rPr>
                <w:b/>
                <w:spacing w:val="-2"/>
                <w:sz w:val="24"/>
              </w:rPr>
              <w:t xml:space="preserve"> </w:t>
            </w:r>
            <w:r>
              <w:rPr>
                <w:b/>
                <w:sz w:val="24"/>
              </w:rPr>
              <w:t>the</w:t>
            </w:r>
            <w:r>
              <w:rPr>
                <w:b/>
                <w:spacing w:val="-7"/>
                <w:sz w:val="24"/>
              </w:rPr>
              <w:t xml:space="preserve"> </w:t>
            </w:r>
            <w:r>
              <w:rPr>
                <w:b/>
                <w:sz w:val="24"/>
              </w:rPr>
              <w:t>MRC/CSO</w:t>
            </w:r>
            <w:r>
              <w:rPr>
                <w:b/>
                <w:spacing w:val="-2"/>
                <w:sz w:val="24"/>
              </w:rPr>
              <w:t xml:space="preserve"> </w:t>
            </w:r>
            <w:r>
              <w:rPr>
                <w:b/>
                <w:sz w:val="24"/>
              </w:rPr>
              <w:t>Social</w:t>
            </w:r>
            <w:r>
              <w:rPr>
                <w:b/>
                <w:spacing w:val="-2"/>
                <w:sz w:val="24"/>
              </w:rPr>
              <w:t xml:space="preserve"> </w:t>
            </w:r>
            <w:r>
              <w:rPr>
                <w:b/>
                <w:sz w:val="24"/>
              </w:rPr>
              <w:t>and</w:t>
            </w:r>
            <w:r>
              <w:rPr>
                <w:b/>
                <w:spacing w:val="-5"/>
                <w:sz w:val="24"/>
              </w:rPr>
              <w:t xml:space="preserve"> </w:t>
            </w:r>
            <w:r>
              <w:rPr>
                <w:b/>
                <w:sz w:val="24"/>
              </w:rPr>
              <w:t>Public</w:t>
            </w:r>
            <w:r>
              <w:rPr>
                <w:b/>
                <w:spacing w:val="-5"/>
                <w:sz w:val="24"/>
              </w:rPr>
              <w:t xml:space="preserve"> </w:t>
            </w:r>
            <w:r>
              <w:rPr>
                <w:b/>
                <w:sz w:val="24"/>
              </w:rPr>
              <w:t>Health</w:t>
            </w:r>
            <w:r>
              <w:rPr>
                <w:b/>
                <w:spacing w:val="-2"/>
                <w:sz w:val="24"/>
              </w:rPr>
              <w:t xml:space="preserve"> </w:t>
            </w:r>
            <w:r>
              <w:rPr>
                <w:b/>
                <w:sz w:val="24"/>
              </w:rPr>
              <w:t>Sciences</w:t>
            </w:r>
            <w:r>
              <w:rPr>
                <w:b/>
                <w:spacing w:val="-2"/>
                <w:sz w:val="24"/>
              </w:rPr>
              <w:t xml:space="preserve"> </w:t>
            </w:r>
            <w:r>
              <w:rPr>
                <w:b/>
                <w:sz w:val="24"/>
              </w:rPr>
              <w:t>Unit</w:t>
            </w:r>
            <w:r>
              <w:rPr>
                <w:b/>
                <w:spacing w:val="-5"/>
                <w:sz w:val="24"/>
              </w:rPr>
              <w:t xml:space="preserve"> </w:t>
            </w:r>
            <w:r>
              <w:rPr>
                <w:b/>
                <w:sz w:val="24"/>
              </w:rPr>
              <w:t>contribute</w:t>
            </w:r>
            <w:r>
              <w:rPr>
                <w:b/>
                <w:spacing w:val="-7"/>
                <w:sz w:val="24"/>
              </w:rPr>
              <w:t xml:space="preserve"> </w:t>
            </w:r>
            <w:r>
              <w:rPr>
                <w:b/>
                <w:sz w:val="24"/>
              </w:rPr>
              <w:t>to</w:t>
            </w:r>
            <w:r>
              <w:rPr>
                <w:b/>
                <w:spacing w:val="-3"/>
                <w:sz w:val="24"/>
              </w:rPr>
              <w:t xml:space="preserve"> </w:t>
            </w:r>
            <w:r>
              <w:rPr>
                <w:b/>
                <w:sz w:val="24"/>
              </w:rPr>
              <w:t xml:space="preserve">this </w:t>
            </w:r>
            <w:r>
              <w:rPr>
                <w:b/>
                <w:spacing w:val="-2"/>
                <w:sz w:val="24"/>
              </w:rPr>
              <w:t>consultation?</w:t>
            </w:r>
          </w:p>
        </w:tc>
      </w:tr>
      <w:tr w:rsidR="0077102E" w14:paraId="3720E191" w14:textId="77777777">
        <w:trPr>
          <w:trHeight w:val="1516"/>
        </w:trPr>
        <w:tc>
          <w:tcPr>
            <w:tcW w:w="9516" w:type="dxa"/>
          </w:tcPr>
          <w:p w14:paraId="3720E190" w14:textId="77777777" w:rsidR="0077102E" w:rsidRDefault="00000000">
            <w:pPr>
              <w:pStyle w:val="TableParagraph"/>
              <w:ind w:right="115"/>
            </w:pPr>
            <w:r>
              <w:t xml:space="preserve">Smoking remains a </w:t>
            </w:r>
            <w:r>
              <w:rPr>
                <w:color w:val="333333"/>
                <w:sz w:val="21"/>
              </w:rPr>
              <w:t>major contributor to socioeconomic differences in health and mortality</w:t>
            </w:r>
            <w:r>
              <w:t>. As such, the Unit and</w:t>
            </w:r>
            <w:proofErr w:type="gramStart"/>
            <w:r>
              <w:t>, in particular, its</w:t>
            </w:r>
            <w:proofErr w:type="gramEnd"/>
            <w:r>
              <w:t xml:space="preserve"> Inequalities </w:t>
            </w:r>
            <w:proofErr w:type="spellStart"/>
            <w:r>
              <w:t>programme</w:t>
            </w:r>
            <w:proofErr w:type="spellEnd"/>
            <w:r>
              <w:t xml:space="preserve"> has long standing interest in the social</w:t>
            </w:r>
            <w:r>
              <w:rPr>
                <w:spacing w:val="-3"/>
              </w:rPr>
              <w:t xml:space="preserve"> </w:t>
            </w:r>
            <w:r>
              <w:t>and</w:t>
            </w:r>
            <w:r>
              <w:rPr>
                <w:spacing w:val="-3"/>
              </w:rPr>
              <w:t xml:space="preserve"> </w:t>
            </w:r>
            <w:r>
              <w:t>regional</w:t>
            </w:r>
            <w:r>
              <w:rPr>
                <w:spacing w:val="-4"/>
              </w:rPr>
              <w:t xml:space="preserve"> </w:t>
            </w:r>
            <w:r>
              <w:t>patterning</w:t>
            </w:r>
            <w:r>
              <w:rPr>
                <w:spacing w:val="-3"/>
              </w:rPr>
              <w:t xml:space="preserve"> </w:t>
            </w:r>
            <w:r>
              <w:t>of</w:t>
            </w:r>
            <w:r>
              <w:rPr>
                <w:spacing w:val="-1"/>
              </w:rPr>
              <w:t xml:space="preserve"> </w:t>
            </w:r>
            <w:r>
              <w:t>smoking at</w:t>
            </w:r>
            <w:r>
              <w:rPr>
                <w:spacing w:val="-4"/>
              </w:rPr>
              <w:t xml:space="preserve"> </w:t>
            </w:r>
            <w:r>
              <w:t>national</w:t>
            </w:r>
            <w:r>
              <w:rPr>
                <w:spacing w:val="-4"/>
              </w:rPr>
              <w:t xml:space="preserve"> </w:t>
            </w:r>
            <w:r>
              <w:t>and</w:t>
            </w:r>
            <w:r>
              <w:rPr>
                <w:spacing w:val="-3"/>
              </w:rPr>
              <w:t xml:space="preserve"> </w:t>
            </w:r>
            <w:r>
              <w:t>international</w:t>
            </w:r>
            <w:r>
              <w:rPr>
                <w:spacing w:val="-4"/>
              </w:rPr>
              <w:t xml:space="preserve"> </w:t>
            </w:r>
            <w:r>
              <w:t>levels.</w:t>
            </w:r>
            <w:r>
              <w:rPr>
                <w:spacing w:val="-4"/>
              </w:rPr>
              <w:t xml:space="preserve"> </w:t>
            </w:r>
            <w:r>
              <w:t>The</w:t>
            </w:r>
            <w:r>
              <w:rPr>
                <w:spacing w:val="-5"/>
              </w:rPr>
              <w:t xml:space="preserve"> </w:t>
            </w:r>
            <w:r>
              <w:t>method</w:t>
            </w:r>
            <w:r>
              <w:rPr>
                <w:spacing w:val="-3"/>
              </w:rPr>
              <w:t xml:space="preserve"> </w:t>
            </w:r>
            <w:r>
              <w:t>used for calculating smoking attributable deaths in Scotland is consistent with the method that has been used by Public Health England and will likely be impacted by the proposed changes.</w:t>
            </w:r>
          </w:p>
        </w:tc>
      </w:tr>
      <w:tr w:rsidR="0077102E" w14:paraId="3720E193" w14:textId="77777777">
        <w:trPr>
          <w:trHeight w:val="386"/>
        </w:trPr>
        <w:tc>
          <w:tcPr>
            <w:tcW w:w="9516" w:type="dxa"/>
          </w:tcPr>
          <w:p w14:paraId="3720E192" w14:textId="77777777" w:rsidR="0077102E" w:rsidRDefault="00000000">
            <w:pPr>
              <w:pStyle w:val="TableParagraph"/>
              <w:spacing w:before="53"/>
              <w:rPr>
                <w:b/>
                <w:sz w:val="24"/>
              </w:rPr>
            </w:pPr>
            <w:r>
              <w:rPr>
                <w:b/>
                <w:sz w:val="24"/>
              </w:rPr>
              <w:t>Our</w:t>
            </w:r>
            <w:r>
              <w:rPr>
                <w:b/>
                <w:spacing w:val="-7"/>
                <w:sz w:val="24"/>
              </w:rPr>
              <w:t xml:space="preserve"> </w:t>
            </w:r>
            <w:r>
              <w:rPr>
                <w:b/>
                <w:sz w:val="24"/>
              </w:rPr>
              <w:t>consultation</w:t>
            </w:r>
            <w:r>
              <w:rPr>
                <w:b/>
                <w:spacing w:val="-6"/>
                <w:sz w:val="24"/>
              </w:rPr>
              <w:t xml:space="preserve"> </w:t>
            </w:r>
            <w:r>
              <w:rPr>
                <w:b/>
                <w:spacing w:val="-2"/>
                <w:sz w:val="24"/>
              </w:rPr>
              <w:t>response</w:t>
            </w:r>
          </w:p>
        </w:tc>
      </w:tr>
      <w:tr w:rsidR="0077102E" w14:paraId="3720E1A5" w14:textId="77777777">
        <w:trPr>
          <w:trHeight w:val="6072"/>
        </w:trPr>
        <w:tc>
          <w:tcPr>
            <w:tcW w:w="9516" w:type="dxa"/>
          </w:tcPr>
          <w:p w14:paraId="3720E194" w14:textId="77777777" w:rsidR="0077102E" w:rsidRDefault="00000000">
            <w:pPr>
              <w:pStyle w:val="TableParagraph"/>
              <w:spacing w:line="250" w:lineRule="exact"/>
            </w:pPr>
            <w:r>
              <w:rPr>
                <w:spacing w:val="-5"/>
              </w:rPr>
              <w:t>1.</w:t>
            </w:r>
          </w:p>
          <w:p w14:paraId="3720E195" w14:textId="77777777" w:rsidR="0077102E" w:rsidRDefault="00000000">
            <w:pPr>
              <w:pStyle w:val="TableParagraph"/>
              <w:spacing w:line="252" w:lineRule="exact"/>
            </w:pPr>
            <w:r>
              <w:t>Do</w:t>
            </w:r>
            <w:r>
              <w:rPr>
                <w:spacing w:val="-6"/>
              </w:rPr>
              <w:t xml:space="preserve"> </w:t>
            </w:r>
            <w:r>
              <w:t>you</w:t>
            </w:r>
            <w:r>
              <w:rPr>
                <w:spacing w:val="-3"/>
              </w:rPr>
              <w:t xml:space="preserve"> </w:t>
            </w:r>
            <w:r>
              <w:t>agree</w:t>
            </w:r>
            <w:r>
              <w:rPr>
                <w:spacing w:val="-3"/>
              </w:rPr>
              <w:t xml:space="preserve"> </w:t>
            </w:r>
            <w:r>
              <w:t>with</w:t>
            </w:r>
            <w:r>
              <w:rPr>
                <w:spacing w:val="-3"/>
              </w:rPr>
              <w:t xml:space="preserve"> </w:t>
            </w:r>
            <w:r>
              <w:t>the</w:t>
            </w:r>
            <w:r>
              <w:rPr>
                <w:spacing w:val="-6"/>
              </w:rPr>
              <w:t xml:space="preserve"> </w:t>
            </w:r>
            <w:r>
              <w:t>proposal</w:t>
            </w:r>
            <w:r>
              <w:rPr>
                <w:spacing w:val="-3"/>
              </w:rPr>
              <w:t xml:space="preserve"> </w:t>
            </w:r>
            <w:r>
              <w:t>to</w:t>
            </w:r>
            <w:r>
              <w:rPr>
                <w:spacing w:val="-3"/>
              </w:rPr>
              <w:t xml:space="preserve"> </w:t>
            </w:r>
            <w:r>
              <w:t>update</w:t>
            </w:r>
            <w:r>
              <w:rPr>
                <w:spacing w:val="-5"/>
              </w:rPr>
              <w:t xml:space="preserve"> </w:t>
            </w:r>
            <w:r>
              <w:t>the</w:t>
            </w:r>
            <w:r>
              <w:rPr>
                <w:spacing w:val="-5"/>
              </w:rPr>
              <w:t xml:space="preserve"> </w:t>
            </w:r>
            <w:r>
              <w:t>relative</w:t>
            </w:r>
            <w:r>
              <w:rPr>
                <w:spacing w:val="-4"/>
              </w:rPr>
              <w:t xml:space="preserve"> </w:t>
            </w:r>
            <w:r>
              <w:t>risks</w:t>
            </w:r>
            <w:r>
              <w:rPr>
                <w:spacing w:val="-5"/>
              </w:rPr>
              <w:t xml:space="preserve"> </w:t>
            </w:r>
            <w:r>
              <w:t>in</w:t>
            </w:r>
            <w:r>
              <w:rPr>
                <w:spacing w:val="-1"/>
              </w:rPr>
              <w:t xml:space="preserve"> </w:t>
            </w:r>
            <w:r>
              <w:t>the</w:t>
            </w:r>
            <w:r>
              <w:rPr>
                <w:spacing w:val="-3"/>
              </w:rPr>
              <w:t xml:space="preserve"> </w:t>
            </w:r>
            <w:r>
              <w:t>way</w:t>
            </w:r>
            <w:r>
              <w:rPr>
                <w:spacing w:val="-5"/>
              </w:rPr>
              <w:t xml:space="preserve"> </w:t>
            </w:r>
            <w:r>
              <w:rPr>
                <w:spacing w:val="-2"/>
              </w:rPr>
              <w:t>outlined?</w:t>
            </w:r>
          </w:p>
          <w:p w14:paraId="3720E196" w14:textId="77777777" w:rsidR="0077102E" w:rsidRDefault="0077102E">
            <w:pPr>
              <w:pStyle w:val="TableParagraph"/>
              <w:spacing w:before="9"/>
              <w:ind w:left="0"/>
              <w:rPr>
                <w:b/>
                <w:sz w:val="21"/>
              </w:rPr>
            </w:pPr>
          </w:p>
          <w:p w14:paraId="3720E197" w14:textId="77777777" w:rsidR="0077102E" w:rsidRDefault="00000000">
            <w:pPr>
              <w:pStyle w:val="TableParagraph"/>
              <w:spacing w:before="1"/>
              <w:rPr>
                <w:b/>
              </w:rPr>
            </w:pPr>
            <w:r>
              <w:rPr>
                <w:b/>
                <w:spacing w:val="-5"/>
              </w:rPr>
              <w:t>Yes</w:t>
            </w:r>
          </w:p>
          <w:p w14:paraId="3720E198" w14:textId="77777777" w:rsidR="0077102E" w:rsidRDefault="0077102E">
            <w:pPr>
              <w:pStyle w:val="TableParagraph"/>
              <w:spacing w:before="2"/>
              <w:ind w:left="0"/>
              <w:rPr>
                <w:b/>
              </w:rPr>
            </w:pPr>
          </w:p>
          <w:p w14:paraId="3720E199" w14:textId="77777777" w:rsidR="0077102E" w:rsidRDefault="00000000">
            <w:pPr>
              <w:pStyle w:val="TableParagraph"/>
              <w:spacing w:line="252" w:lineRule="exact"/>
            </w:pPr>
            <w:r>
              <w:rPr>
                <w:spacing w:val="-5"/>
              </w:rPr>
              <w:t>2.</w:t>
            </w:r>
          </w:p>
          <w:p w14:paraId="3720E19A" w14:textId="77777777" w:rsidR="0077102E" w:rsidRDefault="00000000">
            <w:pPr>
              <w:pStyle w:val="TableParagraph"/>
            </w:pPr>
            <w:r>
              <w:t>Do</w:t>
            </w:r>
            <w:r>
              <w:rPr>
                <w:spacing w:val="-3"/>
              </w:rPr>
              <w:t xml:space="preserve"> </w:t>
            </w:r>
            <w:r>
              <w:t>you</w:t>
            </w:r>
            <w:r>
              <w:rPr>
                <w:spacing w:val="-3"/>
              </w:rPr>
              <w:t xml:space="preserve"> </w:t>
            </w:r>
            <w:r>
              <w:t>agree</w:t>
            </w:r>
            <w:r>
              <w:rPr>
                <w:spacing w:val="-3"/>
              </w:rPr>
              <w:t xml:space="preserve"> </w:t>
            </w:r>
            <w:r>
              <w:t>with</w:t>
            </w:r>
            <w:r>
              <w:rPr>
                <w:spacing w:val="-3"/>
              </w:rPr>
              <w:t xml:space="preserve"> </w:t>
            </w:r>
            <w:r>
              <w:t>the</w:t>
            </w:r>
            <w:r>
              <w:rPr>
                <w:spacing w:val="-5"/>
              </w:rPr>
              <w:t xml:space="preserve"> </w:t>
            </w:r>
            <w:r>
              <w:t>rationale</w:t>
            </w:r>
            <w:r>
              <w:rPr>
                <w:spacing w:val="-5"/>
              </w:rPr>
              <w:t xml:space="preserve"> </w:t>
            </w:r>
            <w:r>
              <w:t>for</w:t>
            </w:r>
            <w:r>
              <w:rPr>
                <w:spacing w:val="-4"/>
              </w:rPr>
              <w:t xml:space="preserve"> </w:t>
            </w:r>
            <w:r>
              <w:t>inclusion</w:t>
            </w:r>
            <w:r>
              <w:rPr>
                <w:spacing w:val="-3"/>
              </w:rPr>
              <w:t xml:space="preserve"> </w:t>
            </w:r>
            <w:r>
              <w:t>and</w:t>
            </w:r>
            <w:r>
              <w:rPr>
                <w:spacing w:val="-5"/>
              </w:rPr>
              <w:t xml:space="preserve"> </w:t>
            </w:r>
            <w:r>
              <w:t>exclusion</w:t>
            </w:r>
            <w:r>
              <w:rPr>
                <w:spacing w:val="-3"/>
              </w:rPr>
              <w:t xml:space="preserve"> </w:t>
            </w:r>
            <w:r>
              <w:t xml:space="preserve">of </w:t>
            </w:r>
            <w:proofErr w:type="gramStart"/>
            <w:r>
              <w:t>particular</w:t>
            </w:r>
            <w:r>
              <w:rPr>
                <w:spacing w:val="-4"/>
              </w:rPr>
              <w:t xml:space="preserve"> </w:t>
            </w:r>
            <w:r>
              <w:t>conditions</w:t>
            </w:r>
            <w:proofErr w:type="gramEnd"/>
            <w:r>
              <w:rPr>
                <w:spacing w:val="-2"/>
              </w:rPr>
              <w:t xml:space="preserve"> </w:t>
            </w:r>
            <w:r>
              <w:t>within</w:t>
            </w:r>
            <w:r>
              <w:rPr>
                <w:spacing w:val="-3"/>
              </w:rPr>
              <w:t xml:space="preserve"> </w:t>
            </w:r>
            <w:r>
              <w:t>our analysis aligned to the Royal College of Physicians report?</w:t>
            </w:r>
          </w:p>
          <w:p w14:paraId="3720E19B" w14:textId="77777777" w:rsidR="0077102E" w:rsidRDefault="00000000">
            <w:pPr>
              <w:pStyle w:val="TableParagraph"/>
              <w:spacing w:before="54" w:line="506" w:lineRule="exact"/>
              <w:ind w:right="9011"/>
            </w:pPr>
            <w:r>
              <w:rPr>
                <w:spacing w:val="-4"/>
              </w:rPr>
              <w:t xml:space="preserve">Yes </w:t>
            </w:r>
            <w:r>
              <w:rPr>
                <w:spacing w:val="-6"/>
              </w:rPr>
              <w:t>3.</w:t>
            </w:r>
          </w:p>
          <w:p w14:paraId="3720E19C" w14:textId="77777777" w:rsidR="0077102E" w:rsidRDefault="00000000">
            <w:pPr>
              <w:pStyle w:val="TableParagraph"/>
              <w:spacing w:line="200" w:lineRule="exact"/>
            </w:pPr>
            <w:r>
              <w:t>Which</w:t>
            </w:r>
            <w:r>
              <w:rPr>
                <w:spacing w:val="-8"/>
              </w:rPr>
              <w:t xml:space="preserve"> </w:t>
            </w:r>
            <w:r>
              <w:t>of</w:t>
            </w:r>
            <w:r>
              <w:rPr>
                <w:spacing w:val="-2"/>
              </w:rPr>
              <w:t xml:space="preserve"> </w:t>
            </w:r>
            <w:r>
              <w:t>the</w:t>
            </w:r>
            <w:r>
              <w:rPr>
                <w:spacing w:val="-8"/>
              </w:rPr>
              <w:t xml:space="preserve"> </w:t>
            </w:r>
            <w:r>
              <w:t>three</w:t>
            </w:r>
            <w:r>
              <w:rPr>
                <w:spacing w:val="-6"/>
              </w:rPr>
              <w:t xml:space="preserve"> </w:t>
            </w:r>
            <w:r>
              <w:t>options</w:t>
            </w:r>
            <w:r>
              <w:rPr>
                <w:spacing w:val="-5"/>
              </w:rPr>
              <w:t xml:space="preserve"> </w:t>
            </w:r>
            <w:r>
              <w:t>for</w:t>
            </w:r>
            <w:r>
              <w:rPr>
                <w:spacing w:val="-5"/>
              </w:rPr>
              <w:t xml:space="preserve"> </w:t>
            </w:r>
            <w:r>
              <w:t>mental</w:t>
            </w:r>
            <w:r>
              <w:rPr>
                <w:spacing w:val="-6"/>
              </w:rPr>
              <w:t xml:space="preserve"> </w:t>
            </w:r>
            <w:r>
              <w:t>health</w:t>
            </w:r>
            <w:r>
              <w:rPr>
                <w:spacing w:val="-4"/>
              </w:rPr>
              <w:t xml:space="preserve"> </w:t>
            </w:r>
            <w:r>
              <w:t>would</w:t>
            </w:r>
            <w:r>
              <w:rPr>
                <w:spacing w:val="-4"/>
              </w:rPr>
              <w:t xml:space="preserve"> </w:t>
            </w:r>
            <w:r>
              <w:t>you</w:t>
            </w:r>
            <w:r>
              <w:rPr>
                <w:spacing w:val="1"/>
              </w:rPr>
              <w:t xml:space="preserve"> </w:t>
            </w:r>
            <w:r>
              <w:rPr>
                <w:spacing w:val="-2"/>
              </w:rPr>
              <w:t>prefer?</w:t>
            </w:r>
          </w:p>
          <w:p w14:paraId="3720E19D" w14:textId="77777777" w:rsidR="0077102E" w:rsidRDefault="0077102E">
            <w:pPr>
              <w:pStyle w:val="TableParagraph"/>
              <w:spacing w:before="9"/>
              <w:ind w:left="0"/>
              <w:rPr>
                <w:b/>
                <w:sz w:val="21"/>
              </w:rPr>
            </w:pPr>
          </w:p>
          <w:p w14:paraId="3720E19E" w14:textId="77777777" w:rsidR="0077102E" w:rsidRDefault="00000000">
            <w:pPr>
              <w:pStyle w:val="TableParagraph"/>
              <w:spacing w:before="1"/>
              <w:ind w:firstLine="720"/>
            </w:pPr>
            <w:r>
              <w:t>Include</w:t>
            </w:r>
            <w:r>
              <w:rPr>
                <w:spacing w:val="-3"/>
              </w:rPr>
              <w:t xml:space="preserve"> </w:t>
            </w:r>
            <w:r>
              <w:t>Mental</w:t>
            </w:r>
            <w:r>
              <w:rPr>
                <w:spacing w:val="-4"/>
              </w:rPr>
              <w:t xml:space="preserve"> </w:t>
            </w:r>
            <w:r>
              <w:t>Health</w:t>
            </w:r>
            <w:r>
              <w:rPr>
                <w:spacing w:val="-3"/>
              </w:rPr>
              <w:t xml:space="preserve"> </w:t>
            </w:r>
            <w:r>
              <w:t>conditions</w:t>
            </w:r>
            <w:r>
              <w:rPr>
                <w:spacing w:val="-2"/>
              </w:rPr>
              <w:t xml:space="preserve"> </w:t>
            </w:r>
            <w:r>
              <w:t>as</w:t>
            </w:r>
            <w:r>
              <w:rPr>
                <w:spacing w:val="-3"/>
              </w:rPr>
              <w:t xml:space="preserve"> </w:t>
            </w:r>
            <w:r>
              <w:t>per</w:t>
            </w:r>
            <w:r>
              <w:rPr>
                <w:spacing w:val="-4"/>
              </w:rPr>
              <w:t xml:space="preserve"> </w:t>
            </w:r>
            <w:r>
              <w:t>the</w:t>
            </w:r>
            <w:r>
              <w:rPr>
                <w:spacing w:val="-5"/>
              </w:rPr>
              <w:t xml:space="preserve"> </w:t>
            </w:r>
            <w:r>
              <w:t>calculations</w:t>
            </w:r>
            <w:r>
              <w:rPr>
                <w:spacing w:val="-3"/>
              </w:rPr>
              <w:t xml:space="preserve"> </w:t>
            </w:r>
            <w:r>
              <w:t>in</w:t>
            </w:r>
            <w:r>
              <w:rPr>
                <w:spacing w:val="-5"/>
              </w:rPr>
              <w:t xml:space="preserve"> </w:t>
            </w:r>
            <w:r>
              <w:t>this</w:t>
            </w:r>
            <w:r>
              <w:rPr>
                <w:spacing w:val="-2"/>
              </w:rPr>
              <w:t xml:space="preserve"> </w:t>
            </w:r>
            <w:r>
              <w:t>document</w:t>
            </w:r>
            <w:r>
              <w:rPr>
                <w:spacing w:val="-6"/>
              </w:rPr>
              <w:t xml:space="preserve"> </w:t>
            </w:r>
            <w:r>
              <w:t>with</w:t>
            </w:r>
            <w:r>
              <w:rPr>
                <w:spacing w:val="-3"/>
              </w:rPr>
              <w:t xml:space="preserve"> </w:t>
            </w:r>
            <w:r>
              <w:t xml:space="preserve">clear </w:t>
            </w:r>
            <w:proofErr w:type="gramStart"/>
            <w:r>
              <w:rPr>
                <w:spacing w:val="-2"/>
              </w:rPr>
              <w:t>caveats</w:t>
            </w:r>
            <w:proofErr w:type="gramEnd"/>
          </w:p>
          <w:p w14:paraId="3720E19F" w14:textId="77777777" w:rsidR="0077102E" w:rsidRDefault="0077102E">
            <w:pPr>
              <w:pStyle w:val="TableParagraph"/>
              <w:ind w:left="0"/>
              <w:rPr>
                <w:b/>
                <w:sz w:val="24"/>
              </w:rPr>
            </w:pPr>
          </w:p>
          <w:p w14:paraId="3720E1A0" w14:textId="77777777" w:rsidR="0077102E" w:rsidRDefault="0077102E">
            <w:pPr>
              <w:pStyle w:val="TableParagraph"/>
              <w:ind w:left="0"/>
              <w:rPr>
                <w:b/>
                <w:sz w:val="24"/>
              </w:rPr>
            </w:pPr>
          </w:p>
          <w:p w14:paraId="3720E1A1" w14:textId="77777777" w:rsidR="0077102E" w:rsidRDefault="00000000">
            <w:pPr>
              <w:pStyle w:val="TableParagraph"/>
              <w:spacing w:before="207"/>
            </w:pPr>
            <w:r>
              <w:rPr>
                <w:spacing w:val="-5"/>
              </w:rPr>
              <w:t>4.</w:t>
            </w:r>
          </w:p>
          <w:p w14:paraId="3720E1A2" w14:textId="77777777" w:rsidR="0077102E" w:rsidRDefault="00000000">
            <w:pPr>
              <w:pStyle w:val="TableParagraph"/>
              <w:spacing w:before="1" w:line="252" w:lineRule="exact"/>
            </w:pPr>
            <w:r>
              <w:t>Do</w:t>
            </w:r>
            <w:r>
              <w:rPr>
                <w:spacing w:val="-5"/>
              </w:rPr>
              <w:t xml:space="preserve"> </w:t>
            </w:r>
            <w:r>
              <w:t>you</w:t>
            </w:r>
            <w:r>
              <w:rPr>
                <w:spacing w:val="-3"/>
              </w:rPr>
              <w:t xml:space="preserve"> </w:t>
            </w:r>
            <w:r>
              <w:t>have</w:t>
            </w:r>
            <w:r>
              <w:rPr>
                <w:spacing w:val="-3"/>
              </w:rPr>
              <w:t xml:space="preserve"> </w:t>
            </w:r>
            <w:r>
              <w:t>any</w:t>
            </w:r>
            <w:r>
              <w:rPr>
                <w:spacing w:val="-5"/>
              </w:rPr>
              <w:t xml:space="preserve"> </w:t>
            </w:r>
            <w:r>
              <w:t>other</w:t>
            </w:r>
            <w:r>
              <w:rPr>
                <w:spacing w:val="-1"/>
              </w:rPr>
              <w:t xml:space="preserve"> </w:t>
            </w:r>
            <w:r>
              <w:t>comments</w:t>
            </w:r>
            <w:r>
              <w:rPr>
                <w:spacing w:val="-5"/>
              </w:rPr>
              <w:t xml:space="preserve"> </w:t>
            </w:r>
            <w:r>
              <w:t>or</w:t>
            </w:r>
            <w:r>
              <w:rPr>
                <w:spacing w:val="-4"/>
              </w:rPr>
              <w:t xml:space="preserve"> </w:t>
            </w:r>
            <w:r>
              <w:t>points</w:t>
            </w:r>
            <w:r>
              <w:rPr>
                <w:spacing w:val="-4"/>
              </w:rPr>
              <w:t xml:space="preserve"> </w:t>
            </w:r>
            <w:r>
              <w:t>that</w:t>
            </w:r>
            <w:r>
              <w:rPr>
                <w:spacing w:val="-1"/>
              </w:rPr>
              <w:t xml:space="preserve"> </w:t>
            </w:r>
            <w:r>
              <w:t>you</w:t>
            </w:r>
            <w:r>
              <w:rPr>
                <w:spacing w:val="-2"/>
              </w:rPr>
              <w:t xml:space="preserve"> </w:t>
            </w:r>
            <w:r>
              <w:t>would</w:t>
            </w:r>
            <w:r>
              <w:rPr>
                <w:spacing w:val="-3"/>
              </w:rPr>
              <w:t xml:space="preserve"> </w:t>
            </w:r>
            <w:r>
              <w:t>like</w:t>
            </w:r>
            <w:r>
              <w:rPr>
                <w:spacing w:val="-3"/>
              </w:rPr>
              <w:t xml:space="preserve"> </w:t>
            </w:r>
            <w:r>
              <w:t>us</w:t>
            </w:r>
            <w:r>
              <w:rPr>
                <w:spacing w:val="-4"/>
              </w:rPr>
              <w:t xml:space="preserve"> </w:t>
            </w:r>
            <w:r>
              <w:t>to</w:t>
            </w:r>
            <w:r>
              <w:rPr>
                <w:spacing w:val="-2"/>
              </w:rPr>
              <w:t xml:space="preserve"> consider?</w:t>
            </w:r>
          </w:p>
          <w:p w14:paraId="3720E1A3" w14:textId="77777777" w:rsidR="0077102E" w:rsidRDefault="00000000">
            <w:pPr>
              <w:pStyle w:val="TableParagraph"/>
              <w:spacing w:line="252" w:lineRule="exact"/>
            </w:pPr>
            <w:r>
              <w:t>It</w:t>
            </w:r>
            <w:r>
              <w:rPr>
                <w:spacing w:val="-5"/>
              </w:rPr>
              <w:t xml:space="preserve"> </w:t>
            </w:r>
            <w:r>
              <w:t>is</w:t>
            </w:r>
            <w:r>
              <w:rPr>
                <w:spacing w:val="-4"/>
              </w:rPr>
              <w:t xml:space="preserve"> </w:t>
            </w:r>
            <w:r>
              <w:t>appropriate</w:t>
            </w:r>
            <w:r>
              <w:rPr>
                <w:spacing w:val="-6"/>
              </w:rPr>
              <w:t xml:space="preserve"> </w:t>
            </w:r>
            <w:r>
              <w:t>to</w:t>
            </w:r>
            <w:r>
              <w:rPr>
                <w:spacing w:val="-5"/>
              </w:rPr>
              <w:t xml:space="preserve"> </w:t>
            </w:r>
            <w:r>
              <w:t>use</w:t>
            </w:r>
            <w:r>
              <w:rPr>
                <w:spacing w:val="-6"/>
              </w:rPr>
              <w:t xml:space="preserve"> </w:t>
            </w:r>
            <w:r>
              <w:t>the</w:t>
            </w:r>
            <w:r>
              <w:rPr>
                <w:spacing w:val="-4"/>
              </w:rPr>
              <w:t xml:space="preserve"> </w:t>
            </w:r>
            <w:r>
              <w:t>relative</w:t>
            </w:r>
            <w:r>
              <w:rPr>
                <w:spacing w:val="-5"/>
              </w:rPr>
              <w:t xml:space="preserve"> </w:t>
            </w:r>
            <w:r>
              <w:t>risks</w:t>
            </w:r>
            <w:r>
              <w:rPr>
                <w:spacing w:val="-5"/>
              </w:rPr>
              <w:t xml:space="preserve"> </w:t>
            </w:r>
            <w:r>
              <w:t>obtained</w:t>
            </w:r>
            <w:r>
              <w:rPr>
                <w:spacing w:val="-6"/>
              </w:rPr>
              <w:t xml:space="preserve"> </w:t>
            </w:r>
            <w:r>
              <w:t>from</w:t>
            </w:r>
            <w:r>
              <w:rPr>
                <w:spacing w:val="-5"/>
              </w:rPr>
              <w:t xml:space="preserve"> </w:t>
            </w:r>
            <w:r>
              <w:t>more</w:t>
            </w:r>
            <w:r>
              <w:rPr>
                <w:spacing w:val="-4"/>
              </w:rPr>
              <w:t xml:space="preserve"> </w:t>
            </w:r>
            <w:r>
              <w:t>up-to-date</w:t>
            </w:r>
            <w:r>
              <w:rPr>
                <w:spacing w:val="-6"/>
              </w:rPr>
              <w:t xml:space="preserve"> </w:t>
            </w:r>
            <w:r>
              <w:t>analyses</w:t>
            </w:r>
            <w:r>
              <w:rPr>
                <w:spacing w:val="-4"/>
              </w:rPr>
              <w:t xml:space="preserve"> from</w:t>
            </w:r>
          </w:p>
          <w:p w14:paraId="3720E1A4" w14:textId="77777777" w:rsidR="0077102E" w:rsidRDefault="00000000">
            <w:pPr>
              <w:pStyle w:val="TableParagraph"/>
              <w:spacing w:line="252" w:lineRule="exact"/>
              <w:ind w:right="385"/>
            </w:pPr>
            <w:r>
              <w:t>systematic reviews of the associations between smoking and various diseases along with meta-analyses</w:t>
            </w:r>
            <w:r>
              <w:rPr>
                <w:spacing w:val="-3"/>
              </w:rPr>
              <w:t xml:space="preserve"> </w:t>
            </w:r>
            <w:r>
              <w:t>of effect</w:t>
            </w:r>
            <w:r>
              <w:rPr>
                <w:spacing w:val="-4"/>
              </w:rPr>
              <w:t xml:space="preserve"> </w:t>
            </w:r>
            <w:r>
              <w:t>sizes</w:t>
            </w:r>
            <w:r>
              <w:rPr>
                <w:spacing w:val="-3"/>
              </w:rPr>
              <w:t xml:space="preserve"> </w:t>
            </w:r>
            <w:r>
              <w:t>forming</w:t>
            </w:r>
            <w:r>
              <w:rPr>
                <w:spacing w:val="-3"/>
              </w:rPr>
              <w:t xml:space="preserve"> </w:t>
            </w:r>
            <w:r>
              <w:t>the</w:t>
            </w:r>
            <w:r>
              <w:rPr>
                <w:spacing w:val="-3"/>
              </w:rPr>
              <w:t xml:space="preserve"> </w:t>
            </w:r>
            <w:r>
              <w:t>bases</w:t>
            </w:r>
            <w:r>
              <w:rPr>
                <w:spacing w:val="-3"/>
              </w:rPr>
              <w:t xml:space="preserve"> </w:t>
            </w:r>
            <w:r>
              <w:t>of</w:t>
            </w:r>
            <w:r>
              <w:rPr>
                <w:spacing w:val="-4"/>
              </w:rPr>
              <w:t xml:space="preserve"> </w:t>
            </w:r>
            <w:r>
              <w:t>the</w:t>
            </w:r>
            <w:r>
              <w:rPr>
                <w:spacing w:val="-5"/>
              </w:rPr>
              <w:t xml:space="preserve"> </w:t>
            </w:r>
            <w:r>
              <w:t>Royal</w:t>
            </w:r>
            <w:r>
              <w:rPr>
                <w:spacing w:val="-4"/>
              </w:rPr>
              <w:t xml:space="preserve"> </w:t>
            </w:r>
            <w:r>
              <w:t>College</w:t>
            </w:r>
            <w:r>
              <w:rPr>
                <w:spacing w:val="-3"/>
              </w:rPr>
              <w:t xml:space="preserve"> </w:t>
            </w:r>
            <w:r>
              <w:t>of</w:t>
            </w:r>
            <w:r>
              <w:rPr>
                <w:spacing w:val="-2"/>
              </w:rPr>
              <w:t xml:space="preserve"> </w:t>
            </w:r>
            <w:r>
              <w:t>Physicians’</w:t>
            </w:r>
            <w:r>
              <w:rPr>
                <w:spacing w:val="-3"/>
              </w:rPr>
              <w:t xml:space="preserve"> </w:t>
            </w:r>
            <w:r>
              <w:t>Hiding</w:t>
            </w:r>
            <w:r>
              <w:rPr>
                <w:spacing w:val="-2"/>
              </w:rPr>
              <w:t xml:space="preserve"> </w:t>
            </w:r>
            <w:r>
              <w:t>in</w:t>
            </w:r>
          </w:p>
        </w:tc>
      </w:tr>
    </w:tbl>
    <w:p w14:paraId="3720E1A6" w14:textId="77777777" w:rsidR="0077102E" w:rsidRDefault="0077102E">
      <w:pPr>
        <w:spacing w:line="252" w:lineRule="exact"/>
        <w:sectPr w:rsidR="0077102E">
          <w:headerReference w:type="default" r:id="rId8"/>
          <w:footerReference w:type="default" r:id="rId9"/>
          <w:type w:val="continuous"/>
          <w:pgSz w:w="11910" w:h="16840"/>
          <w:pgMar w:top="1620" w:right="1080" w:bottom="1940" w:left="1080" w:header="709" w:footer="1748" w:gutter="0"/>
          <w:pgNumType w:start="1"/>
          <w:cols w:space="720"/>
        </w:sect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77102E" w14:paraId="3720E1AD" w14:textId="77777777">
        <w:trPr>
          <w:trHeight w:val="7337"/>
        </w:trPr>
        <w:tc>
          <w:tcPr>
            <w:tcW w:w="9516" w:type="dxa"/>
          </w:tcPr>
          <w:p w14:paraId="3720E1A7" w14:textId="77777777" w:rsidR="0077102E" w:rsidRDefault="00000000">
            <w:pPr>
              <w:pStyle w:val="TableParagraph"/>
              <w:ind w:right="111"/>
            </w:pPr>
            <w:r>
              <w:lastRenderedPageBreak/>
              <w:t>plain sight: Treating tobacco dependency in the NHS report published in 2018 in place of the previously used estimates available from ‘The Health Consequences of Smoking: A Report of the Surgeon General’ which reviewed studies conducted until 2000. The Royal College of Physicians’ report provides relative risks that are based on results from 1) the 2016 systematic review and meta-analysis of 19 current US and European cohort studies reported by the CHANCES (Consortium on Health and Ageing: Network of Cohorts in Europe and the United States) consortium and relating to cancer at seven sites: lung, head and neck, colorectal, gastric,</w:t>
            </w:r>
            <w:r>
              <w:rPr>
                <w:spacing w:val="-1"/>
              </w:rPr>
              <w:t xml:space="preserve"> </w:t>
            </w:r>
            <w:r>
              <w:t>pancreatic,</w:t>
            </w:r>
            <w:r>
              <w:rPr>
                <w:spacing w:val="-1"/>
              </w:rPr>
              <w:t xml:space="preserve"> </w:t>
            </w:r>
            <w:r>
              <w:t>breast,</w:t>
            </w:r>
            <w:r>
              <w:rPr>
                <w:spacing w:val="-4"/>
              </w:rPr>
              <w:t xml:space="preserve"> </w:t>
            </w:r>
            <w:r>
              <w:t>and</w:t>
            </w:r>
            <w:r>
              <w:rPr>
                <w:spacing w:val="-3"/>
              </w:rPr>
              <w:t xml:space="preserve"> </w:t>
            </w:r>
            <w:r>
              <w:t>prostate; and</w:t>
            </w:r>
            <w:r>
              <w:rPr>
                <w:spacing w:val="-5"/>
              </w:rPr>
              <w:t xml:space="preserve"> </w:t>
            </w:r>
            <w:r>
              <w:t>2)</w:t>
            </w:r>
            <w:r>
              <w:rPr>
                <w:spacing w:val="-4"/>
              </w:rPr>
              <w:t xml:space="preserve"> </w:t>
            </w:r>
            <w:r>
              <w:t>the</w:t>
            </w:r>
            <w:r>
              <w:rPr>
                <w:spacing w:val="-3"/>
              </w:rPr>
              <w:t xml:space="preserve"> </w:t>
            </w:r>
            <w:r>
              <w:t>pooled</w:t>
            </w:r>
            <w:r>
              <w:rPr>
                <w:spacing w:val="-3"/>
              </w:rPr>
              <w:t xml:space="preserve"> </w:t>
            </w:r>
            <w:r>
              <w:t>relative</w:t>
            </w:r>
            <w:r>
              <w:rPr>
                <w:spacing w:val="-3"/>
              </w:rPr>
              <w:t xml:space="preserve"> </w:t>
            </w:r>
            <w:r>
              <w:t>risks</w:t>
            </w:r>
            <w:r>
              <w:rPr>
                <w:spacing w:val="-7"/>
              </w:rPr>
              <w:t xml:space="preserve"> </w:t>
            </w:r>
            <w:r>
              <w:t>for</w:t>
            </w:r>
            <w:r>
              <w:rPr>
                <w:spacing w:val="-2"/>
              </w:rPr>
              <w:t xml:space="preserve"> </w:t>
            </w:r>
            <w:r>
              <w:t>cancer</w:t>
            </w:r>
            <w:r>
              <w:rPr>
                <w:spacing w:val="-2"/>
              </w:rPr>
              <w:t xml:space="preserve"> </w:t>
            </w:r>
            <w:r>
              <w:t>in</w:t>
            </w:r>
            <w:r>
              <w:rPr>
                <w:spacing w:val="-5"/>
              </w:rPr>
              <w:t xml:space="preserve"> </w:t>
            </w:r>
            <w:r>
              <w:t>relation</w:t>
            </w:r>
            <w:r>
              <w:rPr>
                <w:spacing w:val="-5"/>
              </w:rPr>
              <w:t xml:space="preserve"> </w:t>
            </w:r>
            <w:r>
              <w:t xml:space="preserve">to smoking from meta-analyses of 293 observational studies, published between 1961 and 2003, of smoking effects on cancer at 13 sites (Oral cavity, Pharynx, </w:t>
            </w:r>
            <w:proofErr w:type="spellStart"/>
            <w:r>
              <w:t>Oesophagus</w:t>
            </w:r>
            <w:proofErr w:type="spellEnd"/>
            <w:r>
              <w:t xml:space="preserve">, Stomach, Liver, Pancreas, Nasal-sinuses and nasopharynx, Larynx, Lung, Cervix, Kidney, Lower urinary tract, and Myeloid </w:t>
            </w:r>
            <w:proofErr w:type="spellStart"/>
            <w:r>
              <w:t>leukaemia</w:t>
            </w:r>
            <w:proofErr w:type="spellEnd"/>
            <w:r>
              <w:t xml:space="preserve">) </w:t>
            </w:r>
            <w:proofErr w:type="spellStart"/>
            <w:r>
              <w:t>recognised</w:t>
            </w:r>
            <w:proofErr w:type="spellEnd"/>
            <w:r>
              <w:t xml:space="preserve"> to be related to tobacco smoking by the International Agency for Research on Cancer (IARC). A further rationale for the use of more recent data is that cigarettes have changed in composition over recent decades, as </w:t>
            </w:r>
            <w:proofErr w:type="gramStart"/>
            <w:r>
              <w:t>have</w:t>
            </w:r>
            <w:proofErr w:type="gramEnd"/>
            <w:r>
              <w:t xml:space="preserve"> the way people smoke them (Harris, J.E., Thun, M.J., </w:t>
            </w:r>
            <w:proofErr w:type="spellStart"/>
            <w:r>
              <w:t>Mondul</w:t>
            </w:r>
            <w:proofErr w:type="spellEnd"/>
            <w:r>
              <w:t>, A.M. and Calle, E.E., 2004. Cigarette tar yields in relation to mortality from lung cancer in the cancer prevention study II prospective cohort, 1982-8. BMJ, 328(7431), p.72.</w:t>
            </w:r>
          </w:p>
          <w:p w14:paraId="3720E1A8" w14:textId="77777777" w:rsidR="0077102E" w:rsidRDefault="00000000">
            <w:pPr>
              <w:pStyle w:val="TableParagraph"/>
              <w:spacing w:line="252" w:lineRule="exact"/>
            </w:pPr>
            <w:r>
              <w:rPr>
                <w:spacing w:val="-2"/>
              </w:rPr>
              <w:t>(</w:t>
            </w:r>
            <w:hyperlink r:id="rId10">
              <w:r>
                <w:rPr>
                  <w:color w:val="0000FF"/>
                  <w:spacing w:val="-2"/>
                  <w:u w:val="single" w:color="0000FF"/>
                </w:rPr>
                <w:t>https://europepmc.org/backend/ptpmcrender.fcgi?accid=PMC314045&amp;blobtype=pdf</w:t>
              </w:r>
            </w:hyperlink>
            <w:r>
              <w:rPr>
                <w:spacing w:val="-2"/>
              </w:rPr>
              <w:t>).</w:t>
            </w:r>
          </w:p>
          <w:p w14:paraId="3720E1A9" w14:textId="77777777" w:rsidR="0077102E" w:rsidRDefault="00000000">
            <w:pPr>
              <w:pStyle w:val="TableParagraph"/>
            </w:pPr>
            <w:r>
              <w:t>As</w:t>
            </w:r>
            <w:r>
              <w:rPr>
                <w:spacing w:val="-2"/>
              </w:rPr>
              <w:t xml:space="preserve"> </w:t>
            </w:r>
            <w:r>
              <w:t>indicated,</w:t>
            </w:r>
            <w:r>
              <w:rPr>
                <w:spacing w:val="-3"/>
              </w:rPr>
              <w:t xml:space="preserve"> </w:t>
            </w:r>
            <w:r>
              <w:t>of</w:t>
            </w:r>
            <w:r>
              <w:rPr>
                <w:spacing w:val="-1"/>
              </w:rPr>
              <w:t xml:space="preserve"> </w:t>
            </w:r>
            <w:r>
              <w:t>the</w:t>
            </w:r>
            <w:r>
              <w:rPr>
                <w:spacing w:val="-4"/>
              </w:rPr>
              <w:t xml:space="preserve"> </w:t>
            </w:r>
            <w:r>
              <w:t>three</w:t>
            </w:r>
            <w:r>
              <w:rPr>
                <w:spacing w:val="-4"/>
              </w:rPr>
              <w:t xml:space="preserve"> </w:t>
            </w:r>
            <w:r>
              <w:t>options</w:t>
            </w:r>
            <w:r>
              <w:rPr>
                <w:spacing w:val="-4"/>
              </w:rPr>
              <w:t xml:space="preserve"> </w:t>
            </w:r>
            <w:r>
              <w:t>for</w:t>
            </w:r>
            <w:r>
              <w:rPr>
                <w:spacing w:val="-6"/>
              </w:rPr>
              <w:t xml:space="preserve"> </w:t>
            </w:r>
            <w:r>
              <w:t>mental</w:t>
            </w:r>
            <w:r>
              <w:rPr>
                <w:spacing w:val="-3"/>
              </w:rPr>
              <w:t xml:space="preserve"> </w:t>
            </w:r>
            <w:r>
              <w:t>health,</w:t>
            </w:r>
            <w:r>
              <w:rPr>
                <w:spacing w:val="-2"/>
              </w:rPr>
              <w:t xml:space="preserve"> </w:t>
            </w:r>
            <w:r>
              <w:t>we</w:t>
            </w:r>
            <w:r>
              <w:rPr>
                <w:spacing w:val="-3"/>
              </w:rPr>
              <w:t xml:space="preserve"> </w:t>
            </w:r>
            <w:r>
              <w:t>prefer</w:t>
            </w:r>
            <w:r>
              <w:rPr>
                <w:spacing w:val="-2"/>
              </w:rPr>
              <w:t xml:space="preserve"> </w:t>
            </w:r>
            <w:r>
              <w:t>‘Include</w:t>
            </w:r>
            <w:r>
              <w:rPr>
                <w:spacing w:val="-3"/>
              </w:rPr>
              <w:t xml:space="preserve"> </w:t>
            </w:r>
            <w:r>
              <w:t>Mental</w:t>
            </w:r>
            <w:r>
              <w:rPr>
                <w:spacing w:val="-3"/>
              </w:rPr>
              <w:t xml:space="preserve"> </w:t>
            </w:r>
            <w:r>
              <w:t>Health</w:t>
            </w:r>
            <w:r>
              <w:rPr>
                <w:spacing w:val="-3"/>
              </w:rPr>
              <w:t xml:space="preserve"> </w:t>
            </w:r>
            <w:r>
              <w:t>conditions as</w:t>
            </w:r>
            <w:r>
              <w:rPr>
                <w:spacing w:val="-2"/>
              </w:rPr>
              <w:t xml:space="preserve"> </w:t>
            </w:r>
            <w:r>
              <w:t>per</w:t>
            </w:r>
            <w:r>
              <w:rPr>
                <w:spacing w:val="-3"/>
              </w:rPr>
              <w:t xml:space="preserve"> </w:t>
            </w:r>
            <w:r>
              <w:t>the</w:t>
            </w:r>
            <w:r>
              <w:rPr>
                <w:spacing w:val="-4"/>
              </w:rPr>
              <w:t xml:space="preserve"> </w:t>
            </w:r>
            <w:r>
              <w:t>calculations</w:t>
            </w:r>
            <w:r>
              <w:rPr>
                <w:spacing w:val="-2"/>
              </w:rPr>
              <w:t xml:space="preserve"> </w:t>
            </w:r>
            <w:r>
              <w:t>in</w:t>
            </w:r>
            <w:r>
              <w:rPr>
                <w:spacing w:val="-4"/>
              </w:rPr>
              <w:t xml:space="preserve"> </w:t>
            </w:r>
            <w:r>
              <w:t>this</w:t>
            </w:r>
            <w:r>
              <w:rPr>
                <w:spacing w:val="-1"/>
              </w:rPr>
              <w:t xml:space="preserve"> </w:t>
            </w:r>
            <w:r>
              <w:t>document with</w:t>
            </w:r>
            <w:r>
              <w:rPr>
                <w:spacing w:val="-2"/>
              </w:rPr>
              <w:t xml:space="preserve"> </w:t>
            </w:r>
            <w:r>
              <w:t>clear</w:t>
            </w:r>
            <w:r>
              <w:rPr>
                <w:spacing w:val="-3"/>
              </w:rPr>
              <w:t xml:space="preserve"> </w:t>
            </w:r>
            <w:proofErr w:type="gramStart"/>
            <w:r>
              <w:t>caveats’</w:t>
            </w:r>
            <w:proofErr w:type="gramEnd"/>
            <w:r>
              <w:t>.</w:t>
            </w:r>
            <w:r>
              <w:rPr>
                <w:spacing w:val="-3"/>
              </w:rPr>
              <w:t xml:space="preserve"> </w:t>
            </w:r>
            <w:r>
              <w:t>The</w:t>
            </w:r>
            <w:r>
              <w:rPr>
                <w:spacing w:val="-4"/>
              </w:rPr>
              <w:t xml:space="preserve"> </w:t>
            </w:r>
            <w:r>
              <w:t>basis</w:t>
            </w:r>
            <w:r>
              <w:rPr>
                <w:spacing w:val="-4"/>
              </w:rPr>
              <w:t xml:space="preserve"> </w:t>
            </w:r>
            <w:r>
              <w:t>for</w:t>
            </w:r>
            <w:r>
              <w:rPr>
                <w:spacing w:val="-3"/>
              </w:rPr>
              <w:t xml:space="preserve"> </w:t>
            </w:r>
            <w:r>
              <w:t>this</w:t>
            </w:r>
            <w:r>
              <w:rPr>
                <w:spacing w:val="-1"/>
              </w:rPr>
              <w:t xml:space="preserve"> </w:t>
            </w:r>
            <w:r>
              <w:t>is</w:t>
            </w:r>
            <w:r>
              <w:rPr>
                <w:spacing w:val="-1"/>
              </w:rPr>
              <w:t xml:space="preserve"> </w:t>
            </w:r>
            <w:r>
              <w:t>that differential incompleteness of the Hospital Episode Statistics data for psychiatric illness admissions is not evident (Thompson, A., Shaw, M., Harrison, G., Ho, D., Gunnell, D., &amp; Verne, J. (2004).</w:t>
            </w:r>
          </w:p>
          <w:p w14:paraId="3720E1AA" w14:textId="77777777" w:rsidR="0077102E" w:rsidRDefault="00000000">
            <w:pPr>
              <w:pStyle w:val="TableParagraph"/>
              <w:ind w:right="231"/>
            </w:pPr>
            <w:r>
              <w:t>Patterns</w:t>
            </w:r>
            <w:r>
              <w:rPr>
                <w:spacing w:val="-3"/>
              </w:rPr>
              <w:t xml:space="preserve"> </w:t>
            </w:r>
            <w:r>
              <w:t>of</w:t>
            </w:r>
            <w:r>
              <w:rPr>
                <w:spacing w:val="-2"/>
              </w:rPr>
              <w:t xml:space="preserve"> </w:t>
            </w:r>
            <w:r>
              <w:t>hospital</w:t>
            </w:r>
            <w:r>
              <w:rPr>
                <w:spacing w:val="-5"/>
              </w:rPr>
              <w:t xml:space="preserve"> </w:t>
            </w:r>
            <w:r>
              <w:t>admission</w:t>
            </w:r>
            <w:r>
              <w:rPr>
                <w:spacing w:val="-6"/>
              </w:rPr>
              <w:t xml:space="preserve"> </w:t>
            </w:r>
            <w:r>
              <w:t>for</w:t>
            </w:r>
            <w:r>
              <w:rPr>
                <w:spacing w:val="-3"/>
              </w:rPr>
              <w:t xml:space="preserve"> </w:t>
            </w:r>
            <w:r>
              <w:t>adult</w:t>
            </w:r>
            <w:r>
              <w:rPr>
                <w:spacing w:val="-5"/>
              </w:rPr>
              <w:t xml:space="preserve"> </w:t>
            </w:r>
            <w:r>
              <w:t>psychiatric</w:t>
            </w:r>
            <w:r>
              <w:rPr>
                <w:spacing w:val="-3"/>
              </w:rPr>
              <w:t xml:space="preserve"> </w:t>
            </w:r>
            <w:r>
              <w:t>illness</w:t>
            </w:r>
            <w:r>
              <w:rPr>
                <w:spacing w:val="-3"/>
              </w:rPr>
              <w:t xml:space="preserve"> </w:t>
            </w:r>
            <w:r>
              <w:t>in</w:t>
            </w:r>
            <w:r>
              <w:rPr>
                <w:spacing w:val="-4"/>
              </w:rPr>
              <w:t xml:space="preserve"> </w:t>
            </w:r>
            <w:r>
              <w:t>England:</w:t>
            </w:r>
            <w:r>
              <w:rPr>
                <w:spacing w:val="-3"/>
              </w:rPr>
              <w:t xml:space="preserve"> </w:t>
            </w:r>
            <w:r>
              <w:t>Analysis</w:t>
            </w:r>
            <w:r>
              <w:rPr>
                <w:spacing w:val="-3"/>
              </w:rPr>
              <w:t xml:space="preserve"> </w:t>
            </w:r>
            <w:r>
              <w:t>of</w:t>
            </w:r>
            <w:r>
              <w:rPr>
                <w:spacing w:val="-3"/>
              </w:rPr>
              <w:t xml:space="preserve"> </w:t>
            </w:r>
            <w:r>
              <w:t xml:space="preserve">Hospital Episode Statistics data. British Journal of Psychiatry, 185(4), 334-341. </w:t>
            </w:r>
            <w:r>
              <w:rPr>
                <w:spacing w:val="-2"/>
              </w:rPr>
              <w:t>doi:10.1192/bjp.185.4.334</w:t>
            </w:r>
          </w:p>
          <w:p w14:paraId="3720E1AB" w14:textId="77777777" w:rsidR="0077102E" w:rsidRDefault="00000000">
            <w:pPr>
              <w:pStyle w:val="TableParagraph"/>
            </w:pPr>
            <w:hyperlink r:id="rId11">
              <w:r>
                <w:rPr>
                  <w:color w:val="0000FF"/>
                  <w:spacing w:val="-2"/>
                  <w:u w:val="single" w:color="0000FF"/>
                </w:rPr>
                <w:t>https://www.researchgate.net/publication/8256525_Patterns_of_hospital_admission_for_adult_</w:t>
              </w:r>
            </w:hyperlink>
            <w:r>
              <w:rPr>
                <w:color w:val="0000FF"/>
                <w:spacing w:val="-2"/>
              </w:rPr>
              <w:t xml:space="preserve"> </w:t>
            </w:r>
            <w:hyperlink r:id="rId12">
              <w:r>
                <w:rPr>
                  <w:color w:val="0000FF"/>
                  <w:u w:val="single" w:color="0000FF"/>
                </w:rPr>
                <w:t>psychiatric_illness_in_England_Analysis_of_Hospital_Episode_Statistics_data</w:t>
              </w:r>
            </w:hyperlink>
            <w:r>
              <w:t>). However, we</w:t>
            </w:r>
          </w:p>
          <w:p w14:paraId="3720E1AC" w14:textId="77777777" w:rsidR="0077102E" w:rsidRDefault="00000000">
            <w:pPr>
              <w:pStyle w:val="TableParagraph"/>
              <w:spacing w:line="252" w:lineRule="exact"/>
            </w:pPr>
            <w:r>
              <w:t>do</w:t>
            </w:r>
            <w:r>
              <w:rPr>
                <w:spacing w:val="-2"/>
              </w:rPr>
              <w:t xml:space="preserve"> </w:t>
            </w:r>
            <w:r>
              <w:t>recommend</w:t>
            </w:r>
            <w:r>
              <w:rPr>
                <w:spacing w:val="-3"/>
              </w:rPr>
              <w:t xml:space="preserve"> </w:t>
            </w:r>
            <w:r>
              <w:t>exploration</w:t>
            </w:r>
            <w:r>
              <w:rPr>
                <w:spacing w:val="-3"/>
              </w:rPr>
              <w:t xml:space="preserve"> </w:t>
            </w:r>
            <w:r>
              <w:t>of inclusion</w:t>
            </w:r>
            <w:r>
              <w:rPr>
                <w:spacing w:val="-3"/>
              </w:rPr>
              <w:t xml:space="preserve"> </w:t>
            </w:r>
            <w:r>
              <w:t>in</w:t>
            </w:r>
            <w:r>
              <w:rPr>
                <w:spacing w:val="-3"/>
              </w:rPr>
              <w:t xml:space="preserve"> </w:t>
            </w:r>
            <w:r>
              <w:t>the</w:t>
            </w:r>
            <w:r>
              <w:rPr>
                <w:spacing w:val="-5"/>
              </w:rPr>
              <w:t xml:space="preserve"> </w:t>
            </w:r>
            <w:r>
              <w:t>calculations</w:t>
            </w:r>
            <w:r>
              <w:rPr>
                <w:spacing w:val="-3"/>
              </w:rPr>
              <w:t xml:space="preserve"> </w:t>
            </w:r>
            <w:r>
              <w:t>of</w:t>
            </w:r>
            <w:r>
              <w:rPr>
                <w:spacing w:val="-4"/>
              </w:rPr>
              <w:t xml:space="preserve"> </w:t>
            </w:r>
            <w:r>
              <w:t>further</w:t>
            </w:r>
            <w:r>
              <w:rPr>
                <w:spacing w:val="-2"/>
              </w:rPr>
              <w:t xml:space="preserve"> </w:t>
            </w:r>
            <w:r>
              <w:t>data</w:t>
            </w:r>
            <w:r>
              <w:rPr>
                <w:spacing w:val="-5"/>
              </w:rPr>
              <w:t xml:space="preserve"> </w:t>
            </w:r>
            <w:r>
              <w:t>sources</w:t>
            </w:r>
            <w:r>
              <w:rPr>
                <w:spacing w:val="-7"/>
              </w:rPr>
              <w:t xml:space="preserve"> </w:t>
            </w:r>
            <w:r>
              <w:t>for</w:t>
            </w:r>
            <w:r>
              <w:rPr>
                <w:spacing w:val="-4"/>
              </w:rPr>
              <w:t xml:space="preserve"> </w:t>
            </w:r>
            <w:r>
              <w:t>mental health conditions to inform future changes to the calculation.</w:t>
            </w:r>
          </w:p>
        </w:tc>
      </w:tr>
      <w:tr w:rsidR="0077102E" w14:paraId="3720E1AF" w14:textId="77777777">
        <w:trPr>
          <w:trHeight w:val="383"/>
        </w:trPr>
        <w:tc>
          <w:tcPr>
            <w:tcW w:w="9516" w:type="dxa"/>
          </w:tcPr>
          <w:p w14:paraId="3720E1AE" w14:textId="77777777" w:rsidR="0077102E" w:rsidRDefault="00000000">
            <w:pPr>
              <w:pStyle w:val="TableParagraph"/>
              <w:spacing w:before="53"/>
              <w:rPr>
                <w:b/>
                <w:sz w:val="24"/>
              </w:rPr>
            </w:pPr>
            <w:r>
              <w:rPr>
                <w:b/>
                <w:sz w:val="24"/>
              </w:rPr>
              <w:t>When</w:t>
            </w:r>
            <w:r>
              <w:rPr>
                <w:b/>
                <w:spacing w:val="-4"/>
                <w:sz w:val="24"/>
              </w:rPr>
              <w:t xml:space="preserve"> </w:t>
            </w:r>
            <w:r>
              <w:rPr>
                <w:b/>
                <w:sz w:val="24"/>
              </w:rPr>
              <w:t>was</w:t>
            </w:r>
            <w:r>
              <w:rPr>
                <w:b/>
                <w:spacing w:val="-1"/>
                <w:sz w:val="24"/>
              </w:rPr>
              <w:t xml:space="preserve"> </w:t>
            </w:r>
            <w:r>
              <w:rPr>
                <w:b/>
                <w:sz w:val="24"/>
              </w:rPr>
              <w:t>the</w:t>
            </w:r>
            <w:r>
              <w:rPr>
                <w:b/>
                <w:spacing w:val="-6"/>
                <w:sz w:val="24"/>
              </w:rPr>
              <w:t xml:space="preserve"> </w:t>
            </w:r>
            <w:r>
              <w:rPr>
                <w:b/>
                <w:sz w:val="24"/>
              </w:rPr>
              <w:t>response</w:t>
            </w:r>
            <w:r>
              <w:rPr>
                <w:b/>
                <w:spacing w:val="-6"/>
                <w:sz w:val="24"/>
              </w:rPr>
              <w:t xml:space="preserve"> </w:t>
            </w:r>
            <w:r>
              <w:rPr>
                <w:b/>
                <w:spacing w:val="-2"/>
                <w:sz w:val="24"/>
              </w:rPr>
              <w:t>submitted?</w:t>
            </w:r>
          </w:p>
        </w:tc>
      </w:tr>
      <w:tr w:rsidR="0077102E" w14:paraId="3720E1B1" w14:textId="77777777">
        <w:trPr>
          <w:trHeight w:val="383"/>
        </w:trPr>
        <w:tc>
          <w:tcPr>
            <w:tcW w:w="9516" w:type="dxa"/>
          </w:tcPr>
          <w:p w14:paraId="3720E1B0" w14:textId="77777777" w:rsidR="0077102E" w:rsidRDefault="00000000">
            <w:pPr>
              <w:pStyle w:val="TableParagraph"/>
              <w:spacing w:before="65"/>
            </w:pPr>
            <w:r>
              <w:rPr>
                <w:spacing w:val="-2"/>
              </w:rPr>
              <w:t>30/10/2020</w:t>
            </w:r>
          </w:p>
        </w:tc>
      </w:tr>
      <w:tr w:rsidR="0077102E" w14:paraId="3720E1B3" w14:textId="77777777">
        <w:trPr>
          <w:trHeight w:val="383"/>
        </w:trPr>
        <w:tc>
          <w:tcPr>
            <w:tcW w:w="9516" w:type="dxa"/>
          </w:tcPr>
          <w:p w14:paraId="3720E1B2" w14:textId="77777777" w:rsidR="0077102E" w:rsidRDefault="00000000">
            <w:pPr>
              <w:pStyle w:val="TableParagraph"/>
              <w:spacing w:before="53"/>
              <w:rPr>
                <w:b/>
                <w:sz w:val="24"/>
              </w:rPr>
            </w:pPr>
            <w:r>
              <w:rPr>
                <w:b/>
                <w:sz w:val="24"/>
              </w:rPr>
              <w:t>Find</w:t>
            </w:r>
            <w:r>
              <w:rPr>
                <w:b/>
                <w:spacing w:val="-4"/>
                <w:sz w:val="24"/>
              </w:rPr>
              <w:t xml:space="preserve"> </w:t>
            </w:r>
            <w:r>
              <w:rPr>
                <w:b/>
                <w:sz w:val="24"/>
              </w:rPr>
              <w:t>out</w:t>
            </w:r>
            <w:r>
              <w:rPr>
                <w:b/>
                <w:spacing w:val="-4"/>
                <w:sz w:val="24"/>
              </w:rPr>
              <w:t xml:space="preserve"> </w:t>
            </w:r>
            <w:r>
              <w:rPr>
                <w:b/>
                <w:sz w:val="24"/>
              </w:rPr>
              <w:t>more</w:t>
            </w:r>
            <w:r>
              <w:rPr>
                <w:b/>
                <w:spacing w:val="-8"/>
                <w:sz w:val="24"/>
              </w:rPr>
              <w:t xml:space="preserve"> </w:t>
            </w:r>
            <w:r>
              <w:rPr>
                <w:b/>
                <w:sz w:val="24"/>
              </w:rPr>
              <w:t>about</w:t>
            </w:r>
            <w:r>
              <w:rPr>
                <w:b/>
                <w:spacing w:val="-8"/>
                <w:sz w:val="24"/>
              </w:rPr>
              <w:t xml:space="preserve"> </w:t>
            </w:r>
            <w:r>
              <w:rPr>
                <w:b/>
                <w:sz w:val="24"/>
              </w:rPr>
              <w:t>our</w:t>
            </w:r>
            <w:r>
              <w:rPr>
                <w:b/>
                <w:spacing w:val="-3"/>
                <w:sz w:val="24"/>
              </w:rPr>
              <w:t xml:space="preserve"> </w:t>
            </w:r>
            <w:r>
              <w:rPr>
                <w:b/>
                <w:sz w:val="24"/>
              </w:rPr>
              <w:t>research</w:t>
            </w:r>
            <w:r>
              <w:rPr>
                <w:b/>
                <w:spacing w:val="-5"/>
                <w:sz w:val="24"/>
              </w:rPr>
              <w:t xml:space="preserve"> </w:t>
            </w:r>
            <w:r>
              <w:rPr>
                <w:b/>
                <w:sz w:val="24"/>
              </w:rPr>
              <w:t>in</w:t>
            </w:r>
            <w:r>
              <w:rPr>
                <w:b/>
                <w:spacing w:val="-4"/>
                <w:sz w:val="24"/>
              </w:rPr>
              <w:t xml:space="preserve"> </w:t>
            </w:r>
            <w:r>
              <w:rPr>
                <w:b/>
                <w:sz w:val="24"/>
              </w:rPr>
              <w:t>this</w:t>
            </w:r>
            <w:r>
              <w:rPr>
                <w:b/>
                <w:spacing w:val="-3"/>
                <w:sz w:val="24"/>
              </w:rPr>
              <w:t xml:space="preserve"> </w:t>
            </w:r>
            <w:r>
              <w:rPr>
                <w:b/>
                <w:spacing w:val="-4"/>
                <w:sz w:val="24"/>
              </w:rPr>
              <w:t>area</w:t>
            </w:r>
          </w:p>
        </w:tc>
      </w:tr>
      <w:tr w:rsidR="0077102E" w14:paraId="3720E1B5" w14:textId="77777777">
        <w:trPr>
          <w:trHeight w:val="1012"/>
        </w:trPr>
        <w:tc>
          <w:tcPr>
            <w:tcW w:w="9516" w:type="dxa"/>
          </w:tcPr>
          <w:p w14:paraId="3720E1B4" w14:textId="77777777" w:rsidR="0077102E" w:rsidRDefault="00000000">
            <w:pPr>
              <w:pStyle w:val="TableParagraph"/>
            </w:pPr>
            <w:hyperlink r:id="rId13" w:anchor="publications">
              <w:r>
                <w:rPr>
                  <w:color w:val="0000FF"/>
                  <w:spacing w:val="-2"/>
                  <w:u w:val="single" w:color="0000FF"/>
                </w:rPr>
                <w:t>https://www.gla.ac.uk/researchinstitutes/healthwellbeing/staff/michaelgreen/#publications</w:t>
              </w:r>
            </w:hyperlink>
            <w:r>
              <w:rPr>
                <w:color w:val="0000FF"/>
                <w:spacing w:val="-2"/>
              </w:rPr>
              <w:t xml:space="preserve"> </w:t>
            </w:r>
            <w:hyperlink r:id="rId14" w:anchor="publications">
              <w:r>
                <w:rPr>
                  <w:color w:val="0000FF"/>
                  <w:spacing w:val="-2"/>
                  <w:u w:val="single" w:color="0000FF"/>
                </w:rPr>
                <w:t>https://www.gla.ac.uk/researchinstitutes/healthwellbeing/staff/linsaygray/#publications</w:t>
              </w:r>
            </w:hyperlink>
            <w:r>
              <w:rPr>
                <w:color w:val="0000FF"/>
                <w:spacing w:val="-2"/>
              </w:rPr>
              <w:t xml:space="preserve"> </w:t>
            </w:r>
            <w:hyperlink r:id="rId15" w:anchor="publications">
              <w:r>
                <w:rPr>
                  <w:color w:val="0000FF"/>
                  <w:spacing w:val="-2"/>
                  <w:u w:val="single" w:color="0000FF"/>
                </w:rPr>
                <w:t>https://www.gla.ac.uk/researchinstitutes/healthwellbeing/staff/elisewhitley/#publications</w:t>
              </w:r>
            </w:hyperlink>
          </w:p>
        </w:tc>
      </w:tr>
      <w:tr w:rsidR="0077102E" w14:paraId="3720E1B7" w14:textId="77777777">
        <w:trPr>
          <w:trHeight w:val="383"/>
        </w:trPr>
        <w:tc>
          <w:tcPr>
            <w:tcW w:w="9516" w:type="dxa"/>
          </w:tcPr>
          <w:p w14:paraId="3720E1B6" w14:textId="77777777" w:rsidR="0077102E" w:rsidRDefault="00000000">
            <w:pPr>
              <w:pStyle w:val="TableParagraph"/>
              <w:spacing w:before="53"/>
              <w:rPr>
                <w:b/>
                <w:sz w:val="24"/>
              </w:rPr>
            </w:pPr>
            <w:r>
              <w:rPr>
                <w:b/>
                <w:sz w:val="24"/>
              </w:rPr>
              <w:t>Who</w:t>
            </w:r>
            <w:r>
              <w:rPr>
                <w:b/>
                <w:spacing w:val="-3"/>
                <w:sz w:val="24"/>
              </w:rPr>
              <w:t xml:space="preserve"> </w:t>
            </w:r>
            <w:r>
              <w:rPr>
                <w:b/>
                <w:sz w:val="24"/>
              </w:rPr>
              <w:t>to</w:t>
            </w:r>
            <w:r>
              <w:rPr>
                <w:b/>
                <w:spacing w:val="-4"/>
                <w:sz w:val="24"/>
              </w:rPr>
              <w:t xml:space="preserve"> </w:t>
            </w:r>
            <w:r>
              <w:rPr>
                <w:b/>
                <w:sz w:val="24"/>
              </w:rPr>
              <w:t>contact</w:t>
            </w:r>
            <w:r>
              <w:rPr>
                <w:b/>
                <w:spacing w:val="-2"/>
                <w:sz w:val="24"/>
              </w:rPr>
              <w:t xml:space="preserve"> </w:t>
            </w:r>
            <w:r>
              <w:rPr>
                <w:b/>
                <w:sz w:val="24"/>
              </w:rPr>
              <w:t>about</w:t>
            </w:r>
            <w:r>
              <w:rPr>
                <w:b/>
                <w:spacing w:val="-7"/>
                <w:sz w:val="24"/>
              </w:rPr>
              <w:t xml:space="preserve"> </w:t>
            </w:r>
            <w:r>
              <w:rPr>
                <w:b/>
                <w:sz w:val="24"/>
              </w:rPr>
              <w:t>this</w:t>
            </w:r>
            <w:r>
              <w:rPr>
                <w:b/>
                <w:spacing w:val="-2"/>
                <w:sz w:val="24"/>
              </w:rPr>
              <w:t xml:space="preserve"> response</w:t>
            </w:r>
          </w:p>
        </w:tc>
      </w:tr>
      <w:tr w:rsidR="0077102E" w14:paraId="3720E1B9" w14:textId="77777777">
        <w:trPr>
          <w:trHeight w:val="386"/>
        </w:trPr>
        <w:tc>
          <w:tcPr>
            <w:tcW w:w="9516" w:type="dxa"/>
          </w:tcPr>
          <w:p w14:paraId="3720E1B8" w14:textId="77777777" w:rsidR="0077102E" w:rsidRDefault="00000000">
            <w:pPr>
              <w:pStyle w:val="TableParagraph"/>
              <w:spacing w:before="64"/>
            </w:pPr>
            <w:r>
              <w:t>Dr</w:t>
            </w:r>
            <w:r>
              <w:rPr>
                <w:spacing w:val="-3"/>
              </w:rPr>
              <w:t xml:space="preserve"> </w:t>
            </w:r>
            <w:r>
              <w:t>Linsay</w:t>
            </w:r>
            <w:r>
              <w:rPr>
                <w:spacing w:val="-5"/>
              </w:rPr>
              <w:t xml:space="preserve"> </w:t>
            </w:r>
            <w:r>
              <w:t>Gray</w:t>
            </w:r>
            <w:r>
              <w:rPr>
                <w:spacing w:val="-4"/>
              </w:rPr>
              <w:t xml:space="preserve"> </w:t>
            </w:r>
            <w:hyperlink r:id="rId16">
              <w:r>
                <w:rPr>
                  <w:color w:val="0000FF"/>
                  <w:spacing w:val="-2"/>
                  <w:u w:val="single" w:color="0000FF"/>
                </w:rPr>
                <w:t>linsay.gray@glasgow.ac.uk</w:t>
              </w:r>
            </w:hyperlink>
          </w:p>
        </w:tc>
      </w:tr>
    </w:tbl>
    <w:p w14:paraId="3720E1BA" w14:textId="77777777" w:rsidR="00592912" w:rsidRDefault="00592912"/>
    <w:sectPr w:rsidR="00592912">
      <w:type w:val="continuous"/>
      <w:pgSz w:w="11910" w:h="16840"/>
      <w:pgMar w:top="1680" w:right="1080" w:bottom="1940" w:left="1080" w:header="709" w:footer="1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1E81" w14:textId="77777777" w:rsidR="00592912" w:rsidRDefault="00592912">
      <w:r>
        <w:separator/>
      </w:r>
    </w:p>
  </w:endnote>
  <w:endnote w:type="continuationSeparator" w:id="0">
    <w:p w14:paraId="5CDA873F" w14:textId="77777777" w:rsidR="00592912" w:rsidRDefault="0059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E1BB" w14:textId="77777777" w:rsidR="0077102E" w:rsidRDefault="00000000">
    <w:pPr>
      <w:pStyle w:val="BodyText"/>
      <w:spacing w:line="14" w:lineRule="auto"/>
      <w:rPr>
        <w:sz w:val="20"/>
      </w:rPr>
    </w:pPr>
    <w:r>
      <w:rPr>
        <w:noProof/>
      </w:rPr>
      <mc:AlternateContent>
        <mc:Choice Requires="wps">
          <w:drawing>
            <wp:anchor distT="0" distB="0" distL="0" distR="0" simplePos="0" relativeHeight="487520768" behindDoc="1" locked="0" layoutInCell="1" allowOverlap="1" wp14:anchorId="3720E1BE" wp14:editId="3720E1BF">
              <wp:simplePos x="0" y="0"/>
              <wp:positionH relativeFrom="page">
                <wp:posOffset>811783</wp:posOffset>
              </wp:positionH>
              <wp:positionV relativeFrom="page">
                <wp:posOffset>9442866</wp:posOffset>
              </wp:positionV>
              <wp:extent cx="2534920" cy="6438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4920" cy="643890"/>
                      </a:xfrm>
                      <a:prstGeom prst="rect">
                        <a:avLst/>
                      </a:prstGeom>
                    </wps:spPr>
                    <wps:txbx>
                      <w:txbxContent>
                        <w:p w14:paraId="3720E1C2" w14:textId="77777777" w:rsidR="0077102E" w:rsidRDefault="00000000">
                          <w:pPr>
                            <w:pStyle w:val="BodyText"/>
                            <w:spacing w:before="21"/>
                            <w:ind w:left="20"/>
                          </w:pPr>
                          <w:r>
                            <w:rPr>
                              <w:color w:val="6C5C4B"/>
                            </w:rPr>
                            <w:t>MRC/CSO</w:t>
                          </w:r>
                          <w:r>
                            <w:rPr>
                              <w:color w:val="6C5C4B"/>
                              <w:spacing w:val="-8"/>
                            </w:rPr>
                            <w:t xml:space="preserve"> </w:t>
                          </w:r>
                          <w:r>
                            <w:rPr>
                              <w:color w:val="6C5C4B"/>
                            </w:rPr>
                            <w:t>Social</w:t>
                          </w:r>
                          <w:r>
                            <w:rPr>
                              <w:color w:val="6C5C4B"/>
                              <w:spacing w:val="-7"/>
                            </w:rPr>
                            <w:t xml:space="preserve"> </w:t>
                          </w:r>
                          <w:r>
                            <w:rPr>
                              <w:color w:val="6C5C4B"/>
                            </w:rPr>
                            <w:t>and</w:t>
                          </w:r>
                          <w:r>
                            <w:rPr>
                              <w:color w:val="6C5C4B"/>
                              <w:spacing w:val="-8"/>
                            </w:rPr>
                            <w:t xml:space="preserve"> </w:t>
                          </w:r>
                          <w:r>
                            <w:rPr>
                              <w:color w:val="6C5C4B"/>
                            </w:rPr>
                            <w:t>Public</w:t>
                          </w:r>
                          <w:r>
                            <w:rPr>
                              <w:color w:val="6C5C4B"/>
                              <w:spacing w:val="-6"/>
                            </w:rPr>
                            <w:t xml:space="preserve"> </w:t>
                          </w:r>
                          <w:r>
                            <w:rPr>
                              <w:color w:val="6C5C4B"/>
                            </w:rPr>
                            <w:t>Health</w:t>
                          </w:r>
                          <w:r>
                            <w:rPr>
                              <w:color w:val="6C5C4B"/>
                              <w:spacing w:val="-7"/>
                            </w:rPr>
                            <w:t xml:space="preserve"> </w:t>
                          </w:r>
                          <w:r>
                            <w:rPr>
                              <w:color w:val="6C5C4B"/>
                            </w:rPr>
                            <w:t>Sciences</w:t>
                          </w:r>
                          <w:r>
                            <w:rPr>
                              <w:color w:val="6C5C4B"/>
                              <w:spacing w:val="-8"/>
                            </w:rPr>
                            <w:t xml:space="preserve"> </w:t>
                          </w:r>
                          <w:r>
                            <w:rPr>
                              <w:color w:val="6C5C4B"/>
                            </w:rPr>
                            <w:t>Unit, University of Glasgow,</w:t>
                          </w:r>
                        </w:p>
                        <w:p w14:paraId="3720E1C3" w14:textId="77777777" w:rsidR="0077102E" w:rsidRDefault="00000000">
                          <w:pPr>
                            <w:pStyle w:val="BodyText"/>
                            <w:ind w:left="20" w:right="2401"/>
                          </w:pPr>
                          <w:r>
                            <w:rPr>
                              <w:color w:val="6C5C4B"/>
                            </w:rPr>
                            <w:t>Berkeley Square, 99</w:t>
                          </w:r>
                          <w:r>
                            <w:rPr>
                              <w:color w:val="6C5C4B"/>
                              <w:spacing w:val="-15"/>
                            </w:rPr>
                            <w:t xml:space="preserve"> </w:t>
                          </w:r>
                          <w:r>
                            <w:rPr>
                              <w:color w:val="6C5C4B"/>
                            </w:rPr>
                            <w:t>Berkeley</w:t>
                          </w:r>
                          <w:r>
                            <w:rPr>
                              <w:color w:val="6C5C4B"/>
                              <w:spacing w:val="-14"/>
                            </w:rPr>
                            <w:t xml:space="preserve"> </w:t>
                          </w:r>
                          <w:r>
                            <w:rPr>
                              <w:color w:val="6C5C4B"/>
                            </w:rPr>
                            <w:t>Street, Glasgow G3 7HR</w:t>
                          </w:r>
                        </w:p>
                      </w:txbxContent>
                    </wps:txbx>
                    <wps:bodyPr wrap="square" lIns="0" tIns="0" rIns="0" bIns="0" rtlCol="0">
                      <a:noAutofit/>
                    </wps:bodyPr>
                  </wps:wsp>
                </a:graphicData>
              </a:graphic>
            </wp:anchor>
          </w:drawing>
        </mc:Choice>
        <mc:Fallback>
          <w:pict>
            <v:shapetype w14:anchorId="3720E1BE" id="_x0000_t202" coordsize="21600,21600" o:spt="202" path="m,l,21600r21600,l21600,xe">
              <v:stroke joinstyle="miter"/>
              <v:path gradientshapeok="t" o:connecttype="rect"/>
            </v:shapetype>
            <v:shape id="Textbox 2" o:spid="_x0000_s1026" type="#_x0000_t202" style="position:absolute;margin-left:63.9pt;margin-top:743.55pt;width:199.6pt;height:50.7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" filled="f" stroked="f">
              <v:textbox inset="0,0,0,0">
                <w:txbxContent>
                  <w:p w14:paraId="3720E1C2" w14:textId="77777777" w:rsidR="0077102E" w:rsidRDefault="00000000">
                    <w:pPr>
                      <w:pStyle w:val="BodyText"/>
                      <w:spacing w:before="21"/>
                      <w:ind w:left="20"/>
                    </w:pPr>
                    <w:r>
                      <w:rPr>
                        <w:color w:val="6C5C4B"/>
                      </w:rPr>
                      <w:t>MRC/CSO</w:t>
                    </w:r>
                    <w:r>
                      <w:rPr>
                        <w:color w:val="6C5C4B"/>
                        <w:spacing w:val="-8"/>
                      </w:rPr>
                      <w:t xml:space="preserve"> </w:t>
                    </w:r>
                    <w:r>
                      <w:rPr>
                        <w:color w:val="6C5C4B"/>
                      </w:rPr>
                      <w:t>Social</w:t>
                    </w:r>
                    <w:r>
                      <w:rPr>
                        <w:color w:val="6C5C4B"/>
                        <w:spacing w:val="-7"/>
                      </w:rPr>
                      <w:t xml:space="preserve"> </w:t>
                    </w:r>
                    <w:r>
                      <w:rPr>
                        <w:color w:val="6C5C4B"/>
                      </w:rPr>
                      <w:t>and</w:t>
                    </w:r>
                    <w:r>
                      <w:rPr>
                        <w:color w:val="6C5C4B"/>
                        <w:spacing w:val="-8"/>
                      </w:rPr>
                      <w:t xml:space="preserve"> </w:t>
                    </w:r>
                    <w:r>
                      <w:rPr>
                        <w:color w:val="6C5C4B"/>
                      </w:rPr>
                      <w:t>Public</w:t>
                    </w:r>
                    <w:r>
                      <w:rPr>
                        <w:color w:val="6C5C4B"/>
                        <w:spacing w:val="-6"/>
                      </w:rPr>
                      <w:t xml:space="preserve"> </w:t>
                    </w:r>
                    <w:r>
                      <w:rPr>
                        <w:color w:val="6C5C4B"/>
                      </w:rPr>
                      <w:t>Health</w:t>
                    </w:r>
                    <w:r>
                      <w:rPr>
                        <w:color w:val="6C5C4B"/>
                        <w:spacing w:val="-7"/>
                      </w:rPr>
                      <w:t xml:space="preserve"> </w:t>
                    </w:r>
                    <w:r>
                      <w:rPr>
                        <w:color w:val="6C5C4B"/>
                      </w:rPr>
                      <w:t>Sciences</w:t>
                    </w:r>
                    <w:r>
                      <w:rPr>
                        <w:color w:val="6C5C4B"/>
                        <w:spacing w:val="-8"/>
                      </w:rPr>
                      <w:t xml:space="preserve"> </w:t>
                    </w:r>
                    <w:r>
                      <w:rPr>
                        <w:color w:val="6C5C4B"/>
                      </w:rPr>
                      <w:t>Unit, University of Glasgow,</w:t>
                    </w:r>
                  </w:p>
                  <w:p w14:paraId="3720E1C3" w14:textId="77777777" w:rsidR="0077102E" w:rsidRDefault="00000000">
                    <w:pPr>
                      <w:pStyle w:val="BodyText"/>
                      <w:ind w:left="20" w:right="2401"/>
                    </w:pPr>
                    <w:r>
                      <w:rPr>
                        <w:color w:val="6C5C4B"/>
                      </w:rPr>
                      <w:t>Berkeley Square, 99</w:t>
                    </w:r>
                    <w:r>
                      <w:rPr>
                        <w:color w:val="6C5C4B"/>
                        <w:spacing w:val="-15"/>
                      </w:rPr>
                      <w:t xml:space="preserve"> </w:t>
                    </w:r>
                    <w:r>
                      <w:rPr>
                        <w:color w:val="6C5C4B"/>
                      </w:rPr>
                      <w:t>Berkeley</w:t>
                    </w:r>
                    <w:r>
                      <w:rPr>
                        <w:color w:val="6C5C4B"/>
                        <w:spacing w:val="-14"/>
                      </w:rPr>
                      <w:t xml:space="preserve"> </w:t>
                    </w:r>
                    <w:r>
                      <w:rPr>
                        <w:color w:val="6C5C4B"/>
                      </w:rPr>
                      <w:t>Street, Glasgow G3 7HR</w:t>
                    </w:r>
                  </w:p>
                </w:txbxContent>
              </v:textbox>
              <w10:wrap anchorx="page" anchory="page"/>
            </v:shape>
          </w:pict>
        </mc:Fallback>
      </mc:AlternateContent>
    </w:r>
    <w:r>
      <w:rPr>
        <w:noProof/>
      </w:rPr>
      <mc:AlternateContent>
        <mc:Choice Requires="wps">
          <w:drawing>
            <wp:anchor distT="0" distB="0" distL="0" distR="0" simplePos="0" relativeHeight="487521280" behindDoc="1" locked="0" layoutInCell="1" allowOverlap="1" wp14:anchorId="3720E1C0" wp14:editId="3720E1C1">
              <wp:simplePos x="0" y="0"/>
              <wp:positionH relativeFrom="page">
                <wp:posOffset>5509640</wp:posOffset>
              </wp:positionH>
              <wp:positionV relativeFrom="page">
                <wp:posOffset>9442866</wp:posOffset>
              </wp:positionV>
              <wp:extent cx="1383665" cy="1498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665" cy="149860"/>
                      </a:xfrm>
                      <a:prstGeom prst="rect">
                        <a:avLst/>
                      </a:prstGeom>
                    </wps:spPr>
                    <wps:txbx>
                      <w:txbxContent>
                        <w:p w14:paraId="3720E1C4" w14:textId="77777777" w:rsidR="0077102E" w:rsidRDefault="00000000">
                          <w:pPr>
                            <w:pStyle w:val="BodyText"/>
                            <w:spacing w:before="21"/>
                            <w:ind w:left="20"/>
                          </w:pPr>
                          <w:hyperlink r:id="rId1">
                            <w:r>
                              <w:rPr>
                                <w:color w:val="6C5C4B"/>
                                <w:spacing w:val="-2"/>
                              </w:rPr>
                              <w:t>www.glasgow.ac.uk/sphsu</w:t>
                            </w:r>
                          </w:hyperlink>
                        </w:p>
                      </w:txbxContent>
                    </wps:txbx>
                    <wps:bodyPr wrap="square" lIns="0" tIns="0" rIns="0" bIns="0" rtlCol="0">
                      <a:noAutofit/>
                    </wps:bodyPr>
                  </wps:wsp>
                </a:graphicData>
              </a:graphic>
            </wp:anchor>
          </w:drawing>
        </mc:Choice>
        <mc:Fallback>
          <w:pict>
            <v:shape w14:anchorId="3720E1C0" id="Textbox 3" o:spid="_x0000_s1027" type="#_x0000_t202" style="position:absolute;margin-left:433.85pt;margin-top:743.55pt;width:108.95pt;height:11.8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" filled="f" stroked="f">
              <v:textbox inset="0,0,0,0">
                <w:txbxContent>
                  <w:p w14:paraId="3720E1C4" w14:textId="77777777" w:rsidR="0077102E" w:rsidRDefault="00000000">
                    <w:pPr>
                      <w:pStyle w:val="BodyText"/>
                      <w:spacing w:before="21"/>
                      <w:ind w:left="20"/>
                    </w:pPr>
                    <w:hyperlink r:id="rId2">
                      <w:r>
                        <w:rPr>
                          <w:color w:val="6C5C4B"/>
                          <w:spacing w:val="-2"/>
                        </w:rPr>
                        <w:t>www.glasgow.ac.uk/sphsu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F11D" w14:textId="77777777" w:rsidR="00592912" w:rsidRDefault="00592912">
      <w:r>
        <w:separator/>
      </w:r>
    </w:p>
  </w:footnote>
  <w:footnote w:type="continuationSeparator" w:id="0">
    <w:p w14:paraId="33AA9252" w14:textId="77777777" w:rsidR="00592912" w:rsidRDefault="00592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E1BA" w14:textId="77777777" w:rsidR="0077102E" w:rsidRDefault="00000000">
    <w:pPr>
      <w:pStyle w:val="BodyText"/>
      <w:spacing w:line="14" w:lineRule="auto"/>
      <w:rPr>
        <w:sz w:val="20"/>
      </w:rPr>
    </w:pPr>
    <w:r>
      <w:rPr>
        <w:noProof/>
      </w:rPr>
      <w:drawing>
        <wp:anchor distT="0" distB="0" distL="0" distR="0" simplePos="0" relativeHeight="487520256" behindDoc="1" locked="0" layoutInCell="1" allowOverlap="1" wp14:anchorId="3720E1BC" wp14:editId="60C2A7A1">
          <wp:simplePos x="0" y="0"/>
          <wp:positionH relativeFrom="page">
            <wp:posOffset>738713</wp:posOffset>
          </wp:positionH>
          <wp:positionV relativeFrom="page">
            <wp:posOffset>463228</wp:posOffset>
          </wp:positionV>
          <wp:extent cx="2707624" cy="586758"/>
          <wp:effectExtent l="0" t="0" r="0" b="0"/>
          <wp:wrapNone/>
          <wp:docPr id="1" name="Image 1" descr="SPHS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PHSU Logo"/>
                  <pic:cNvPicPr/>
                </pic:nvPicPr>
                <pic:blipFill>
                  <a:blip r:embed="rId1" cstate="print"/>
                  <a:stretch>
                    <a:fillRect/>
                  </a:stretch>
                </pic:blipFill>
                <pic:spPr>
                  <a:xfrm>
                    <a:off x="0" y="0"/>
                    <a:ext cx="2707624" cy="58675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7102E"/>
    <w:rsid w:val="00150A0A"/>
    <w:rsid w:val="00592912"/>
    <w:rsid w:val="0077102E"/>
    <w:rsid w:val="008A6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E17D"/>
  <w15:docId w15:val="{690FED5B-EFD2-42EB-9E5C-DCD58B5B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2"/>
      <w:ind w:left="110" w:right="1419"/>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50A0A"/>
    <w:pPr>
      <w:tabs>
        <w:tab w:val="center" w:pos="4513"/>
        <w:tab w:val="right" w:pos="9026"/>
      </w:tabs>
    </w:pPr>
  </w:style>
  <w:style w:type="character" w:customStyle="1" w:styleId="HeaderChar">
    <w:name w:val="Header Char"/>
    <w:basedOn w:val="DefaultParagraphFont"/>
    <w:link w:val="Header"/>
    <w:uiPriority w:val="99"/>
    <w:rsid w:val="00150A0A"/>
    <w:rPr>
      <w:rFonts w:ascii="Arial" w:eastAsia="Arial" w:hAnsi="Arial" w:cs="Arial"/>
    </w:rPr>
  </w:style>
  <w:style w:type="paragraph" w:styleId="Footer">
    <w:name w:val="footer"/>
    <w:basedOn w:val="Normal"/>
    <w:link w:val="FooterChar"/>
    <w:uiPriority w:val="99"/>
    <w:unhideWhenUsed/>
    <w:rsid w:val="00150A0A"/>
    <w:pPr>
      <w:tabs>
        <w:tab w:val="center" w:pos="4513"/>
        <w:tab w:val="right" w:pos="9026"/>
      </w:tabs>
    </w:pPr>
  </w:style>
  <w:style w:type="character" w:customStyle="1" w:styleId="FooterChar">
    <w:name w:val="Footer Char"/>
    <w:basedOn w:val="DefaultParagraphFont"/>
    <w:link w:val="Footer"/>
    <w:uiPriority w:val="99"/>
    <w:rsid w:val="00150A0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la.ac.uk/researchinstitutes/healthwellbeing/staff/michaelgree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uk/government/consultations/proposed-changes-to-how-smoking-attributable-risk-is-calculated" TargetMode="External"/><Relationship Id="rId12" Type="http://schemas.openxmlformats.org/officeDocument/2006/relationships/hyperlink" Target="https://www.researchgate.net/publication/8256525_Patterns_of_hospital_admission_for_adult_psychiatric_illness_in_England_Analysis_of_Hospital_Episode_Statistics_dat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linsay.gray@glasgow.ac.uk" TargetMode="External"/><Relationship Id="rId1" Type="http://schemas.openxmlformats.org/officeDocument/2006/relationships/styles" Target="styles.xml"/><Relationship Id="rId6" Type="http://schemas.openxmlformats.org/officeDocument/2006/relationships/hyperlink" Target="https://www.gov.uk/government/consultations/proposed-changes-to-how-smoking-attributable-risk-is-calculated" TargetMode="External"/><Relationship Id="rId11" Type="http://schemas.openxmlformats.org/officeDocument/2006/relationships/hyperlink" Target="https://www.researchgate.net/publication/8256525_Patterns_of_hospital_admission_for_adult_psychiatric_illness_in_England_Analysis_of_Hospital_Episode_Statistics_data" TargetMode="External"/><Relationship Id="rId5" Type="http://schemas.openxmlformats.org/officeDocument/2006/relationships/endnotes" Target="endnotes.xml"/><Relationship Id="rId15" Type="http://schemas.openxmlformats.org/officeDocument/2006/relationships/hyperlink" Target="https://www.gla.ac.uk/researchinstitutes/healthwellbeing/staff/elisewhitley/" TargetMode="External"/><Relationship Id="rId10" Type="http://schemas.openxmlformats.org/officeDocument/2006/relationships/hyperlink" Target="https://europepmc.org/backend/ptpmcrender.fcgi?accid=PMC314045&amp;blobtype=pdf"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gla.ac.uk/researchinstitutes/healthwellbeing/staff/linsaygra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lasgow.ac.uk/sphsu" TargetMode="External"/><Relationship Id="rId1" Type="http://schemas.openxmlformats.org/officeDocument/2006/relationships/hyperlink" Target="http://www.glasgow.ac.uk/sphs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4967</Characters>
  <Application>Microsoft Office Word</Application>
  <DocSecurity>0</DocSecurity>
  <Lines>101</Lines>
  <Paragraphs>48</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Enni Miller</cp:lastModifiedBy>
  <cp:revision>3</cp:revision>
  <dcterms:created xsi:type="dcterms:W3CDTF">2023-07-14T10:48:00Z</dcterms:created>
  <dcterms:modified xsi:type="dcterms:W3CDTF">2023-07-14T10:49:00Z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Microsoft® Word 2016</vt:lpwstr>
  </property>
  <property fmtid="{D5CDD505-2E9C-101B-9397-08002B2CF9AE}" pid="4" name="LastSaved">
    <vt:filetime>2023-07-14T00:00:00Z</vt:filetime>
  </property>
  <property fmtid="{D5CDD505-2E9C-101B-9397-08002B2CF9AE}" pid="5" name="Producer">
    <vt:lpwstr>Microsoft® Word 2016</vt:lpwstr>
  </property>
  <property fmtid="{D5CDD505-2E9C-101B-9397-08002B2CF9AE}" pid="6" name="GrammarlyDocumentId">
    <vt:lpwstr>ccc10cd41ac8359e4558e841cf89fd5d7bea8ccfcfff0477d0ea2d7a052d6d3e</vt:lpwstr>
  </property>
</Properties>
</file>