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5809" w14:textId="77777777" w:rsidR="0088787E" w:rsidRDefault="001C6BBE">
      <w:pPr>
        <w:pStyle w:val="BodyText"/>
        <w:ind w:left="1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FB75894" wp14:editId="708507EA">
            <wp:extent cx="2703239" cy="585216"/>
            <wp:effectExtent l="0" t="0" r="0" b="0"/>
            <wp:docPr id="3" name="Image 3" descr="MRC/CSO SPHS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RC/CSO SPHSU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23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580A" w14:textId="77777777" w:rsidR="0088787E" w:rsidRDefault="0088787E">
      <w:pPr>
        <w:pStyle w:val="BodyText"/>
        <w:ind w:left="0"/>
        <w:rPr>
          <w:rFonts w:ascii="Times New Roman"/>
        </w:rPr>
      </w:pPr>
    </w:p>
    <w:p w14:paraId="7FB7580B" w14:textId="77777777" w:rsidR="0088787E" w:rsidRDefault="0088787E">
      <w:pPr>
        <w:pStyle w:val="BodyText"/>
        <w:spacing w:before="2"/>
        <w:ind w:left="0"/>
        <w:rPr>
          <w:rFonts w:ascii="Times New Roman"/>
          <w:sz w:val="25"/>
        </w:rPr>
      </w:pPr>
    </w:p>
    <w:p w14:paraId="7FB7580C" w14:textId="77777777" w:rsidR="0088787E" w:rsidRDefault="001C6BBE">
      <w:pPr>
        <w:pStyle w:val="Title"/>
      </w:pPr>
      <w:r>
        <w:t>MRC/CSO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Unit Consultation Response</w:t>
      </w:r>
    </w:p>
    <w:p w14:paraId="7FB7580D" w14:textId="77777777" w:rsidR="0088787E" w:rsidRDefault="0088787E">
      <w:pPr>
        <w:rPr>
          <w:b/>
          <w:sz w:val="20"/>
        </w:rPr>
      </w:pPr>
    </w:p>
    <w:p w14:paraId="7FB7580E" w14:textId="77777777" w:rsidR="0088787E" w:rsidRDefault="0088787E">
      <w:pPr>
        <w:spacing w:before="1" w:after="1"/>
        <w:rPr>
          <w:b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</w:tblGrid>
      <w:tr w:rsidR="0088787E" w14:paraId="7FB75810" w14:textId="77777777">
        <w:trPr>
          <w:trHeight w:val="275"/>
        </w:trPr>
        <w:tc>
          <w:tcPr>
            <w:tcW w:w="9519" w:type="dxa"/>
          </w:tcPr>
          <w:p w14:paraId="7FB7580F" w14:textId="77777777" w:rsidR="0088787E" w:rsidRDefault="001C6B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consultation</w:t>
            </w:r>
          </w:p>
        </w:tc>
      </w:tr>
      <w:tr w:rsidR="0088787E" w14:paraId="7FB75812" w14:textId="77777777">
        <w:trPr>
          <w:trHeight w:val="545"/>
        </w:trPr>
        <w:tc>
          <w:tcPr>
            <w:tcW w:w="9519" w:type="dxa"/>
          </w:tcPr>
          <w:p w14:paraId="7FB75811" w14:textId="77777777" w:rsidR="0088787E" w:rsidRDefault="001C6BBE">
            <w:pPr>
              <w:pStyle w:val="TableParagraph"/>
              <w:spacing w:before="3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COVID-19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children’s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88787E" w14:paraId="7FB75814" w14:textId="77777777">
        <w:trPr>
          <w:trHeight w:val="405"/>
        </w:trPr>
        <w:tc>
          <w:tcPr>
            <w:tcW w:w="9519" w:type="dxa"/>
          </w:tcPr>
          <w:p w14:paraId="7FB75813" w14:textId="77777777" w:rsidR="0088787E" w:rsidRDefault="001C6BBE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body</w:t>
            </w:r>
          </w:p>
        </w:tc>
      </w:tr>
      <w:tr w:rsidR="0088787E" w14:paraId="7FB75816" w14:textId="77777777">
        <w:trPr>
          <w:trHeight w:val="575"/>
        </w:trPr>
        <w:tc>
          <w:tcPr>
            <w:tcW w:w="9519" w:type="dxa"/>
          </w:tcPr>
          <w:p w14:paraId="7FB75815" w14:textId="77777777" w:rsidR="0088787E" w:rsidRDefault="001C6BBE">
            <w:pPr>
              <w:pStyle w:val="TableParagraph"/>
              <w:spacing w:before="3"/>
            </w:pPr>
            <w:r>
              <w:t>UK</w:t>
            </w:r>
            <w:r>
              <w:rPr>
                <w:spacing w:val="-5"/>
              </w:rPr>
              <w:t xml:space="preserve"> </w:t>
            </w:r>
            <w:r>
              <w:t>Parliament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</w:tr>
      <w:tr w:rsidR="0088787E" w14:paraId="7FB75818" w14:textId="77777777">
        <w:trPr>
          <w:trHeight w:val="425"/>
        </w:trPr>
        <w:tc>
          <w:tcPr>
            <w:tcW w:w="9519" w:type="dxa"/>
          </w:tcPr>
          <w:p w14:paraId="7FB75817" w14:textId="77777777" w:rsidR="0088787E" w:rsidRDefault="001C6BB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consultation</w:t>
            </w:r>
          </w:p>
        </w:tc>
      </w:tr>
      <w:tr w:rsidR="0088787E" w14:paraId="7FB7581A" w14:textId="77777777">
        <w:trPr>
          <w:trHeight w:val="555"/>
        </w:trPr>
        <w:tc>
          <w:tcPr>
            <w:tcW w:w="9519" w:type="dxa"/>
          </w:tcPr>
          <w:p w14:paraId="7FB75819" w14:textId="77777777" w:rsidR="0088787E" w:rsidRDefault="001C6BBE">
            <w:pPr>
              <w:pStyle w:val="TableParagraph"/>
              <w:spacing w:line="242" w:lineRule="auto"/>
            </w:pPr>
            <w:r>
              <w:rPr>
                <w:spacing w:val="-2"/>
              </w:rPr>
              <w:t>https://committees.parliament.uk/work/202/the-impact-of-covid19-on-education-and-childrens- services/</w:t>
            </w:r>
          </w:p>
        </w:tc>
      </w:tr>
      <w:tr w:rsidR="0088787E" w14:paraId="7FB7581C" w14:textId="77777777">
        <w:trPr>
          <w:trHeight w:val="565"/>
        </w:trPr>
        <w:tc>
          <w:tcPr>
            <w:tcW w:w="9519" w:type="dxa"/>
          </w:tcPr>
          <w:p w14:paraId="7FB7581B" w14:textId="77777777" w:rsidR="0088787E" w:rsidRDefault="001C6BBE">
            <w:pPr>
              <w:pStyle w:val="TableParagraph"/>
              <w:spacing w:line="28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MRC/CSO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consultation?</w:t>
            </w:r>
          </w:p>
        </w:tc>
      </w:tr>
      <w:tr w:rsidR="0088787E" w14:paraId="7FB7581F" w14:textId="77777777">
        <w:trPr>
          <w:trHeight w:val="2275"/>
        </w:trPr>
        <w:tc>
          <w:tcPr>
            <w:tcW w:w="9519" w:type="dxa"/>
          </w:tcPr>
          <w:p w14:paraId="7FB7581D" w14:textId="77777777" w:rsidR="0088787E" w:rsidRDefault="001C6BBE">
            <w:pPr>
              <w:pStyle w:val="TableParagraph"/>
              <w:spacing w:before="3"/>
              <w:ind w:right="121"/>
            </w:pPr>
            <w:r>
              <w:t>The MRC/CSO Social and Public Health Sciences Unit at the University of Glasgow conducts high quality research that has a real impact on health and wellbeing, and on reducing health inequalities – both at home and across the globe. We have a particular foc</w:t>
            </w:r>
            <w:r>
              <w:t>us on developing and using</w:t>
            </w:r>
            <w:r>
              <w:rPr>
                <w:spacing w:val="-2"/>
              </w:rPr>
              <w:t xml:space="preserve"> </w:t>
            </w:r>
            <w:r>
              <w:t>cutting-edge methods to understand</w:t>
            </w:r>
            <w:r>
              <w:rPr>
                <w:spacing w:val="-2"/>
              </w:rPr>
              <w:t xml:space="preserve"> </w:t>
            </w:r>
            <w:r>
              <w:t>how social,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behavioural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economic,</w:t>
            </w:r>
            <w:r>
              <w:rPr>
                <w:spacing w:val="-1"/>
              </w:rPr>
              <w:t xml:space="preserve"> </w:t>
            </w:r>
            <w:proofErr w:type="gramStart"/>
            <w:r>
              <w:t>political</w:t>
            </w:r>
            <w:proofErr w:type="gramEnd"/>
            <w:r>
              <w:t xml:space="preserve"> and environmental factors influence health. We work with decision makers, </w:t>
            </w:r>
            <w:proofErr w:type="gramStart"/>
            <w:r>
              <w:t>practitioners</w:t>
            </w:r>
            <w:proofErr w:type="gramEnd"/>
            <w:r>
              <w:t xml:space="preserve"> and the public to identify interventions and policies that ca</w:t>
            </w:r>
            <w:r>
              <w:t>n have an effective and sustained impact on health and wellbeing, particularly among the most disadvantaged. During the COVID-19 pandemic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undertaken</w:t>
            </w:r>
            <w:r>
              <w:rPr>
                <w:spacing w:val="-1"/>
              </w:rPr>
              <w:t xml:space="preserve"> </w:t>
            </w:r>
            <w:proofErr w:type="gramStart"/>
            <w:r>
              <w:t>a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pieces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14:paraId="7FB7581E" w14:textId="77777777" w:rsidR="0088787E" w:rsidRDefault="001C6BBE">
            <w:pPr>
              <w:pStyle w:val="TableParagraph"/>
              <w:spacing w:line="228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pandemic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health </w:t>
            </w:r>
            <w:r>
              <w:rPr>
                <w:spacing w:val="-2"/>
              </w:rPr>
              <w:t>inequalities.</w:t>
            </w:r>
          </w:p>
        </w:tc>
      </w:tr>
      <w:tr w:rsidR="0088787E" w14:paraId="7FB75821" w14:textId="77777777">
        <w:trPr>
          <w:trHeight w:val="385"/>
        </w:trPr>
        <w:tc>
          <w:tcPr>
            <w:tcW w:w="9519" w:type="dxa"/>
          </w:tcPr>
          <w:p w14:paraId="7FB75820" w14:textId="77777777" w:rsidR="0088787E" w:rsidRDefault="001C6BBE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Our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consultation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response</w:t>
            </w:r>
          </w:p>
        </w:tc>
      </w:tr>
      <w:tr w:rsidR="0088787E" w14:paraId="7FB7582B" w14:textId="77777777">
        <w:trPr>
          <w:trHeight w:val="5316"/>
        </w:trPr>
        <w:tc>
          <w:tcPr>
            <w:tcW w:w="9519" w:type="dxa"/>
          </w:tcPr>
          <w:p w14:paraId="7FB75822" w14:textId="77777777" w:rsidR="0088787E" w:rsidRDefault="001C6BBE">
            <w:pPr>
              <w:pStyle w:val="TableParagraph"/>
              <w:spacing w:before="3"/>
              <w:ind w:right="117"/>
            </w:pPr>
            <w:r>
              <w:t xml:space="preserve">Our response focuses on the following item in the Inquiry’s terms of reference: </w:t>
            </w:r>
            <w:r>
              <w:rPr>
                <w:i/>
              </w:rPr>
              <w:t>the effect on disadvantaged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Department’s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approach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meals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long- term impact on the most vulnerable groups (such 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pupils with special educational needs and disabilities and children in need). </w:t>
            </w:r>
            <w:r>
              <w:t xml:space="preserve">We draw on research that we are undertaking to understand the effects of school closures on educational inequalities, and their implications for health inequalities in future. Below we </w:t>
            </w:r>
            <w:proofErr w:type="spellStart"/>
            <w:r>
              <w:t>summarise</w:t>
            </w:r>
            <w:proofErr w:type="spellEnd"/>
            <w:r>
              <w:t xml:space="preserve"> the key</w:t>
            </w:r>
            <w:r>
              <w:rPr>
                <w:spacing w:val="-1"/>
              </w:rPr>
              <w:t xml:space="preserve"> </w:t>
            </w:r>
            <w:r>
              <w:t>points we wish to make, and the set out in more detai</w:t>
            </w:r>
            <w:r>
              <w:t xml:space="preserve">l the background, </w:t>
            </w:r>
            <w:proofErr w:type="gramStart"/>
            <w:r>
              <w:t>methods</w:t>
            </w:r>
            <w:proofErr w:type="gramEnd"/>
            <w:r>
              <w:t xml:space="preserve"> and preliminary findings of our research.</w:t>
            </w:r>
          </w:p>
          <w:p w14:paraId="7FB75823" w14:textId="77777777" w:rsidR="0088787E" w:rsidRDefault="0088787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FB75824" w14:textId="77777777" w:rsidR="0088787E" w:rsidRDefault="001C6BB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  <w:p w14:paraId="7FB75825" w14:textId="77777777" w:rsidR="0088787E" w:rsidRDefault="001C6BBE">
            <w:pPr>
              <w:pStyle w:val="TableParagraph"/>
              <w:spacing w:before="1" w:line="242" w:lineRule="auto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closures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widespread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responses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COVID-19</w:t>
            </w:r>
            <w:r>
              <w:rPr>
                <w:spacing w:val="-5"/>
              </w:rPr>
              <w:t xml:space="preserve"> </w:t>
            </w:r>
            <w:r>
              <w:t>pandemic, affecting over 1.5 billion learners in 190 countries, including 15 million in the UK.</w:t>
            </w:r>
          </w:p>
          <w:p w14:paraId="7FB75826" w14:textId="77777777" w:rsidR="0088787E" w:rsidRDefault="0088787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FB75827" w14:textId="77777777" w:rsidR="0088787E" w:rsidRDefault="001C6BBE">
            <w:pPr>
              <w:pStyle w:val="TableParagraph"/>
            </w:pPr>
            <w:r>
              <w:t>Surveys conducted since schools were closed in 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1"/>
              </w:rPr>
              <w:t xml:space="preserve"> </w:t>
            </w:r>
            <w:r>
              <w:t>suggest</w:t>
            </w:r>
            <w:r>
              <w:rPr>
                <w:spacing w:val="-1"/>
              </w:rPr>
              <w:t xml:space="preserve"> </w:t>
            </w:r>
            <w:r>
              <w:t>wide differences in the</w:t>
            </w:r>
            <w:r>
              <w:rPr>
                <w:spacing w:val="-2"/>
              </w:rPr>
              <w:t xml:space="preserve"> </w:t>
            </w:r>
            <w:r>
              <w:t>nature and level of support for learning</w:t>
            </w:r>
            <w:r>
              <w:rPr>
                <w:spacing w:val="-1"/>
              </w:rPr>
              <w:t xml:space="preserve"> </w:t>
            </w:r>
            <w:r>
              <w:t>provided by private and state sc</w:t>
            </w:r>
            <w:r>
              <w:t>hools, and between schools in the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sector.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differences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exacerbated by</w:t>
            </w:r>
            <w:r>
              <w:rPr>
                <w:spacing w:val="-4"/>
              </w:rPr>
              <w:t xml:space="preserve"> </w:t>
            </w:r>
            <w:r>
              <w:t>inequalities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children from </w:t>
            </w:r>
            <w:proofErr w:type="gramStart"/>
            <w:r>
              <w:t>more or less affluent</w:t>
            </w:r>
            <w:proofErr w:type="gramEnd"/>
            <w:r>
              <w:t xml:space="preserve"> families to make use of the support provided.</w:t>
            </w:r>
          </w:p>
          <w:p w14:paraId="7FB75828" w14:textId="77777777" w:rsidR="0088787E" w:rsidRDefault="0088787E">
            <w:pPr>
              <w:pStyle w:val="TableParagraph"/>
              <w:ind w:left="0"/>
              <w:rPr>
                <w:b/>
              </w:rPr>
            </w:pPr>
          </w:p>
          <w:p w14:paraId="7FB75829" w14:textId="77777777" w:rsidR="0088787E" w:rsidRDefault="001C6BBE">
            <w:pPr>
              <w:pStyle w:val="TableParagraph"/>
              <w:spacing w:before="1"/>
            </w:pPr>
            <w:r>
              <w:t>Research on previous epidemics and modelling studies undertaken to inform the UK Government’s</w:t>
            </w:r>
            <w:r>
              <w:rPr>
                <w:spacing w:val="-5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COVID19</w:t>
            </w:r>
            <w:r>
              <w:rPr>
                <w:spacing w:val="-2"/>
              </w:rPr>
              <w:t xml:space="preserve"> </w:t>
            </w:r>
            <w:r>
              <w:t>pandemic</w:t>
            </w:r>
            <w:r>
              <w:rPr>
                <w:spacing w:val="-10"/>
              </w:rPr>
              <w:t xml:space="preserve"> </w:t>
            </w:r>
            <w:r>
              <w:t>suggest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closures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5"/>
              </w:rPr>
              <w:t xml:space="preserve"> </w:t>
            </w:r>
            <w:r>
              <w:t>a small</w:t>
            </w:r>
            <w:r>
              <w:t xml:space="preserve"> contribution to controlling the spread of infection. Their impact on children’s</w:t>
            </w:r>
            <w:r>
              <w:rPr>
                <w:spacing w:val="-2"/>
              </w:rPr>
              <w:t xml:space="preserve"> </w:t>
            </w:r>
            <w:r>
              <w:t>education,</w:t>
            </w:r>
          </w:p>
          <w:p w14:paraId="7FB7582A" w14:textId="77777777" w:rsidR="0088787E" w:rsidRDefault="001C6BBE">
            <w:pPr>
              <w:pStyle w:val="TableParagraph"/>
              <w:spacing w:before="1" w:line="232" w:lineRule="exact"/>
            </w:pP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wellbeing</w:t>
            </w:r>
            <w:r>
              <w:rPr>
                <w:spacing w:val="-7"/>
              </w:rPr>
              <w:t xml:space="preserve"> </w:t>
            </w:r>
            <w:proofErr w:type="gramStart"/>
            <w:r>
              <w:t>is</w:t>
            </w:r>
            <w:proofErr w:type="gramEnd"/>
            <w:r>
              <w:rPr>
                <w:spacing w:val="-4"/>
              </w:rPr>
              <w:t xml:space="preserve"> </w:t>
            </w:r>
            <w:r>
              <w:t>therefore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t>consideration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deciding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</w:tr>
    </w:tbl>
    <w:p w14:paraId="7FB7582C" w14:textId="77777777" w:rsidR="0088787E" w:rsidRDefault="0088787E">
      <w:pPr>
        <w:spacing w:line="232" w:lineRule="exact"/>
        <w:sectPr w:rsidR="0088787E">
          <w:footerReference w:type="default" r:id="rId8"/>
          <w:type w:val="continuous"/>
          <w:pgSz w:w="11910" w:h="16840"/>
          <w:pgMar w:top="700" w:right="1080" w:bottom="1740" w:left="1080" w:header="0" w:footer="1556" w:gutter="0"/>
          <w:pgNumType w:start="1"/>
          <w:cols w:space="720"/>
        </w:sectPr>
      </w:pPr>
    </w:p>
    <w:p w14:paraId="7FB7582D" w14:textId="77777777" w:rsidR="0088787E" w:rsidRDefault="0088787E">
      <w:pPr>
        <w:spacing w:before="2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</w:tblGrid>
      <w:tr w:rsidR="0088787E" w14:paraId="7FB75843" w14:textId="77777777">
        <w:trPr>
          <w:trHeight w:val="13663"/>
        </w:trPr>
        <w:tc>
          <w:tcPr>
            <w:tcW w:w="9519" w:type="dxa"/>
          </w:tcPr>
          <w:p w14:paraId="7FB7582E" w14:textId="77777777" w:rsidR="0088787E" w:rsidRDefault="001C6BBE">
            <w:pPr>
              <w:pStyle w:val="TableParagraph"/>
              <w:spacing w:line="242" w:lineRule="auto"/>
            </w:pPr>
            <w:r>
              <w:t>should</w:t>
            </w:r>
            <w:r>
              <w:rPr>
                <w:spacing w:val="-1"/>
              </w:rPr>
              <w:t xml:space="preserve"> </w:t>
            </w:r>
            <w:r>
              <w:t>remain</w:t>
            </w:r>
            <w:r>
              <w:rPr>
                <w:spacing w:val="-1"/>
              </w:rPr>
              <w:t xml:space="preserve"> </w:t>
            </w:r>
            <w:r>
              <w:t>closed,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earning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while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closed,</w:t>
            </w:r>
            <w:r>
              <w:rPr>
                <w:spacing w:val="-5"/>
              </w:rPr>
              <w:t xml:space="preserve"> </w:t>
            </w:r>
            <w:r>
              <w:t>and what additional support may be necessary once they reopen.</w:t>
            </w:r>
          </w:p>
          <w:p w14:paraId="7FB7582F" w14:textId="77777777" w:rsidR="0088787E" w:rsidRDefault="008878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FB75830" w14:textId="77777777" w:rsidR="0088787E" w:rsidRDefault="001C6BBE">
            <w:pPr>
              <w:pStyle w:val="TableParagraph"/>
              <w:ind w:right="117"/>
            </w:pPr>
            <w:r>
              <w:t>The effects of school closures on educational inequalities were a focus of research and policy interest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pandemic. Overall,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closures</w:t>
            </w:r>
            <w:r>
              <w:rPr>
                <w:spacing w:val="-4"/>
              </w:rPr>
              <w:t xml:space="preserve"> </w:t>
            </w:r>
            <w:r>
              <w:t>widen</w:t>
            </w:r>
            <w:r>
              <w:rPr>
                <w:spacing w:val="-2"/>
              </w:rPr>
              <w:t xml:space="preserve"> </w:t>
            </w:r>
            <w:r>
              <w:t>inequalities</w:t>
            </w:r>
            <w:r>
              <w:rPr>
                <w:spacing w:val="-4"/>
              </w:rPr>
              <w:t xml:space="preserve"> </w:t>
            </w:r>
            <w:r>
              <w:t>(often referred to as ‘summer learning loss’) is contradictory, but the</w:t>
            </w:r>
            <w:r>
              <w:t xml:space="preserve">re have been few studies in the </w:t>
            </w:r>
            <w:r>
              <w:rPr>
                <w:spacing w:val="-4"/>
              </w:rPr>
              <w:t>UK.</w:t>
            </w:r>
          </w:p>
          <w:p w14:paraId="7FB75831" w14:textId="77777777" w:rsidR="0088787E" w:rsidRDefault="0088787E">
            <w:pPr>
              <w:pStyle w:val="TableParagraph"/>
              <w:ind w:left="0"/>
              <w:rPr>
                <w:b/>
              </w:rPr>
            </w:pPr>
          </w:p>
          <w:p w14:paraId="7FB75832" w14:textId="77777777" w:rsidR="0088787E" w:rsidRDefault="001C6BBE">
            <w:pPr>
              <w:pStyle w:val="TableParagraph"/>
            </w:pPr>
            <w:r>
              <w:t xml:space="preserve">We have carried out a scoping review of the international evidence of the effects of school closures on education and health inequalities. We have also undertaken </w:t>
            </w:r>
            <w:proofErr w:type="gramStart"/>
            <w:r>
              <w:t>new</w:t>
            </w:r>
            <w:proofErr w:type="gramEnd"/>
            <w:r>
              <w:t xml:space="preserve"> analysis of the Millennium</w:t>
            </w:r>
            <w:r>
              <w:rPr>
                <w:spacing w:val="-3"/>
              </w:rPr>
              <w:t xml:space="preserve"> </w:t>
            </w:r>
            <w:r>
              <w:t>Cohort</w:t>
            </w:r>
            <w:r>
              <w:rPr>
                <w:spacing w:val="-6"/>
              </w:rPr>
              <w:t xml:space="preserve"> </w:t>
            </w:r>
            <w:r>
              <w:t>Survey (MCS)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ch</w:t>
            </w:r>
            <w:r>
              <w:t>ildren</w:t>
            </w:r>
            <w:r>
              <w:rPr>
                <w:spacing w:val="-2"/>
              </w:rPr>
              <w:t xml:space="preserve"> </w:t>
            </w:r>
            <w:r>
              <w:t>born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2000-2,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collected</w:t>
            </w:r>
            <w:r>
              <w:rPr>
                <w:spacing w:val="-2"/>
              </w:rPr>
              <w:t xml:space="preserve"> </w:t>
            </w:r>
            <w:r>
              <w:t>when they were aged 7, 11 and 14.</w:t>
            </w:r>
          </w:p>
          <w:p w14:paraId="7FB75833" w14:textId="77777777" w:rsidR="0088787E" w:rsidRDefault="0088787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FB75834" w14:textId="77777777" w:rsidR="0088787E" w:rsidRDefault="001C6BBE">
            <w:pPr>
              <w:pStyle w:val="TableParagraph"/>
              <w:ind w:right="117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t>looked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whether</w:t>
            </w:r>
            <w:r>
              <w:rPr>
                <w:spacing w:val="-7"/>
              </w:rPr>
              <w:t xml:space="preserve"> </w:t>
            </w:r>
            <w:r>
              <w:t>differences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cognitive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wellbeing among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 xml:space="preserve">from advantaged and disadvantaged backgrounds widen, </w:t>
            </w:r>
            <w:proofErr w:type="gramStart"/>
            <w:r>
              <w:t>narrow</w:t>
            </w:r>
            <w:proofErr w:type="gramEnd"/>
            <w:r>
              <w:t xml:space="preserve"> or stay the same between the beginning and end of the school summer holidays and whether the effects differ across the three age groups.</w:t>
            </w:r>
          </w:p>
          <w:p w14:paraId="7FB75835" w14:textId="77777777" w:rsidR="0088787E" w:rsidRDefault="0088787E">
            <w:pPr>
              <w:pStyle w:val="TableParagraph"/>
              <w:ind w:left="0"/>
              <w:rPr>
                <w:b/>
              </w:rPr>
            </w:pPr>
          </w:p>
          <w:p w14:paraId="7FB75836" w14:textId="77777777" w:rsidR="0088787E" w:rsidRDefault="001C6BBE">
            <w:pPr>
              <w:pStyle w:val="TableParagraph"/>
              <w:spacing w:before="1"/>
            </w:pPr>
            <w:r>
              <w:t>Our</w:t>
            </w:r>
            <w:r>
              <w:rPr>
                <w:spacing w:val="-3"/>
              </w:rPr>
              <w:t xml:space="preserve"> </w:t>
            </w:r>
            <w:r>
              <w:t>scoping</w:t>
            </w:r>
            <w:r>
              <w:rPr>
                <w:spacing w:val="-7"/>
              </w:rPr>
              <w:t xml:space="preserve"> </w:t>
            </w:r>
            <w:r>
              <w:t>review found</w:t>
            </w:r>
            <w:r>
              <w:rPr>
                <w:spacing w:val="-2"/>
              </w:rPr>
              <w:t xml:space="preserve"> </w:t>
            </w:r>
            <w:r>
              <w:t>little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inequalities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achievement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social, </w:t>
            </w:r>
            <w:proofErr w:type="gramStart"/>
            <w:r>
              <w:t>cognitive</w:t>
            </w:r>
            <w:proofErr w:type="gramEnd"/>
            <w:r>
              <w:t xml:space="preserve"> or emotional development between children from more or less disadvantaged backgrounds </w:t>
            </w:r>
            <w:proofErr w:type="gramStart"/>
            <w:r>
              <w:t>widen</w:t>
            </w:r>
            <w:proofErr w:type="gramEnd"/>
            <w:r>
              <w:t xml:space="preserve"> over the school holidays.</w:t>
            </w:r>
          </w:p>
          <w:p w14:paraId="7FB75837" w14:textId="77777777" w:rsidR="0088787E" w:rsidRDefault="0088787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FB75838" w14:textId="77777777" w:rsidR="0088787E" w:rsidRDefault="001C6BBE">
            <w:pPr>
              <w:pStyle w:val="TableParagraph"/>
              <w:spacing w:before="1"/>
            </w:pPr>
            <w:r>
              <w:t xml:space="preserve">In our analysis of the MCS we found large differences between children from </w:t>
            </w:r>
            <w:proofErr w:type="gramStart"/>
            <w:r>
              <w:t>more or less</w:t>
            </w:r>
            <w:r>
              <w:t xml:space="preserve"> disadvantaged</w:t>
            </w:r>
            <w:proofErr w:type="gramEnd"/>
            <w:r>
              <w:t xml:space="preserve"> backgrounds in mental wellbeing and reading ability, but we did not find a consistent</w:t>
            </w:r>
            <w:r>
              <w:rPr>
                <w:spacing w:val="-6"/>
              </w:rPr>
              <w:t xml:space="preserve"> </w:t>
            </w:r>
            <w:r>
              <w:t>pattern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widening</w:t>
            </w:r>
            <w:r>
              <w:rPr>
                <w:spacing w:val="-7"/>
              </w:rPr>
              <w:t xml:space="preserve"> </w:t>
            </w:r>
            <w:r>
              <w:t>differences</w:t>
            </w:r>
            <w:r>
              <w:rPr>
                <w:spacing w:val="-10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disadvantaged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when we compared responses in the months before and after the school summer ho</w:t>
            </w:r>
            <w:r>
              <w:t>lidays.</w:t>
            </w:r>
          </w:p>
          <w:p w14:paraId="7FB75839" w14:textId="77777777" w:rsidR="0088787E" w:rsidRDefault="008878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FB7583A" w14:textId="77777777" w:rsidR="0088787E" w:rsidRDefault="001C6BBE">
            <w:pPr>
              <w:pStyle w:val="TableParagraph"/>
              <w:spacing w:before="1" w:line="242" w:lineRule="auto"/>
              <w:ind w:right="117"/>
            </w:pPr>
            <w:r>
              <w:t>These are preliminary findings, but we do not expect</w:t>
            </w:r>
            <w:r>
              <w:rPr>
                <w:spacing w:val="-1"/>
              </w:rPr>
              <w:t xml:space="preserve"> </w:t>
            </w:r>
            <w:r>
              <w:t>the picture to change once we have completed</w:t>
            </w:r>
            <w:r>
              <w:rPr>
                <w:spacing w:val="-1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3"/>
              </w:rPr>
              <w:t xml:space="preserve"> </w:t>
            </w:r>
            <w:r>
              <w:t>of</w:t>
            </w:r>
            <w:proofErr w:type="gramEnd"/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analyses. They</w:t>
            </w:r>
            <w:r>
              <w:rPr>
                <w:spacing w:val="-3"/>
              </w:rPr>
              <w:t xml:space="preserve"> </w:t>
            </w:r>
            <w:r>
              <w:t>suggest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normal</w:t>
            </w:r>
            <w:r>
              <w:rPr>
                <w:spacing w:val="-3"/>
              </w:rPr>
              <w:t xml:space="preserve"> </w:t>
            </w:r>
            <w:r>
              <w:t>circumstances,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closures</w:t>
            </w:r>
            <w:r>
              <w:rPr>
                <w:spacing w:val="-8"/>
              </w:rPr>
              <w:t xml:space="preserve"> </w:t>
            </w:r>
            <w:r>
              <w:t xml:space="preserve">do not lead to significant additional educational </w:t>
            </w:r>
            <w:proofErr w:type="gramStart"/>
            <w:r>
              <w:t>disadvantage</w:t>
            </w:r>
            <w:proofErr w:type="gramEnd"/>
            <w:r>
              <w:t>.</w:t>
            </w:r>
          </w:p>
          <w:p w14:paraId="7FB7583B" w14:textId="77777777" w:rsidR="0088787E" w:rsidRDefault="008878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FB7583C" w14:textId="77777777" w:rsidR="0088787E" w:rsidRDefault="001C6BBE">
            <w:pPr>
              <w:pStyle w:val="TableParagraph"/>
              <w:spacing w:before="1"/>
            </w:pPr>
            <w:r>
              <w:t>The school closures during the COVID19 pandemic</w:t>
            </w:r>
            <w:r>
              <w:rPr>
                <w:spacing w:val="-2"/>
              </w:rPr>
              <w:t xml:space="preserve"> </w:t>
            </w:r>
            <w:r>
              <w:t>may have a larger effect, for example because they are longer or because inequalities in support for learning have been more pronounced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pandemic-related</w:t>
            </w:r>
            <w:r>
              <w:rPr>
                <w:spacing w:val="-2"/>
              </w:rPr>
              <w:t xml:space="preserve"> </w:t>
            </w:r>
            <w:r>
              <w:t>closures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holidays</w:t>
            </w:r>
            <w:r>
              <w:rPr>
                <w:spacing w:val="-5"/>
              </w:rPr>
              <w:t xml:space="preserve"> </w:t>
            </w:r>
            <w:r>
              <w:t>in general. This should be an important focus of future research and monitoring.</w:t>
            </w:r>
          </w:p>
          <w:p w14:paraId="7FB7583D" w14:textId="77777777" w:rsidR="0088787E" w:rsidRDefault="0088787E">
            <w:pPr>
              <w:pStyle w:val="TableParagraph"/>
              <w:ind w:left="0"/>
              <w:rPr>
                <w:b/>
              </w:rPr>
            </w:pPr>
          </w:p>
          <w:p w14:paraId="7FB7583E" w14:textId="77777777" w:rsidR="0088787E" w:rsidRDefault="001C6BB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Background</w:t>
            </w:r>
          </w:p>
          <w:p w14:paraId="7FB7583F" w14:textId="77777777" w:rsidR="0088787E" w:rsidRDefault="001C6BBE">
            <w:pPr>
              <w:pStyle w:val="TableParagraph"/>
              <w:ind w:right="195"/>
            </w:pPr>
            <w:r>
              <w:t>Closures of schools and other education settings are one of the most widespread policy responses to the COVID-19 pandemic, affecting nearly 1.6 billion learners in 190 countries at their</w:t>
            </w:r>
            <w:r>
              <w:rPr>
                <w:spacing w:val="-7"/>
              </w:rPr>
              <w:t xml:space="preserve"> </w:t>
            </w:r>
            <w:r>
              <w:t>peak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April,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million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UK.</w:t>
            </w:r>
            <w:r>
              <w:rPr>
                <w:vertAlign w:val="superscript"/>
              </w:rPr>
              <w:t>1</w:t>
            </w:r>
            <w:r>
              <w:rPr>
                <w:spacing w:val="-1"/>
              </w:rPr>
              <w:t xml:space="preserve"> </w:t>
            </w:r>
            <w:r>
              <w:t>Since</w:t>
            </w:r>
            <w:r>
              <w:rPr>
                <w:spacing w:val="-1"/>
              </w:rPr>
              <w:t xml:space="preserve"> </w:t>
            </w:r>
            <w:r>
              <w:t>the beginning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lockdown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 closure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UK,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surveys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conducted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 for home learning that schools are providing, and how much time children are spending in educational activities. These surve</w:t>
            </w:r>
            <w:r>
              <w:t>ys suggest wide differences in the nature and level of support for learning provided by private and state schools, and between schools in the public sector.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vertAlign w:val="superscript"/>
              </w:rPr>
              <w:t>3</w:t>
            </w:r>
            <w:r>
              <w:t xml:space="preserve"> These differences may be exacerbated by inequalities in the ability of children from more or les</w:t>
            </w:r>
            <w:r>
              <w:t>s affluent families to make use of the support provided, for example because children from poorer families are less likely to have access to a computer, a good internet connection, or a quiet place to study,</w:t>
            </w:r>
            <w:r>
              <w:rPr>
                <w:vertAlign w:val="superscript"/>
              </w:rPr>
              <w:t>4</w:t>
            </w:r>
            <w:r>
              <w:t xml:space="preserve"> or because their families have been disproporti</w:t>
            </w:r>
            <w:r>
              <w:t>onately affected by the economic effects of the pandemic.</w:t>
            </w:r>
            <w:r>
              <w:rPr>
                <w:vertAlign w:val="superscript"/>
              </w:rPr>
              <w:t>5</w:t>
            </w:r>
          </w:p>
          <w:p w14:paraId="7FB75840" w14:textId="77777777" w:rsidR="0088787E" w:rsidRDefault="0088787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FB75841" w14:textId="77777777" w:rsidR="0088787E" w:rsidRDefault="001C6BBE">
            <w:pPr>
              <w:pStyle w:val="TableParagraph"/>
            </w:pPr>
            <w:r>
              <w:t>Research on previous epidemics and modelling studies undertaken to inform the UK Government’s</w:t>
            </w:r>
            <w:r>
              <w:rPr>
                <w:spacing w:val="-1"/>
              </w:rPr>
              <w:t xml:space="preserve"> </w:t>
            </w:r>
            <w:r>
              <w:t>response to the COVID19 pandemic</w:t>
            </w:r>
            <w:r>
              <w:rPr>
                <w:spacing w:val="-6"/>
              </w:rPr>
              <w:t xml:space="preserve"> </w:t>
            </w:r>
            <w:r>
              <w:t>suggest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school closures</w:t>
            </w:r>
            <w:r>
              <w:rPr>
                <w:spacing w:val="-1"/>
              </w:rPr>
              <w:t xml:space="preserve"> </w:t>
            </w:r>
            <w:r>
              <w:t>make only</w:t>
            </w:r>
            <w:r>
              <w:rPr>
                <w:spacing w:val="-1"/>
              </w:rPr>
              <w:t xml:space="preserve"> </w:t>
            </w:r>
            <w:r>
              <w:t>a small</w:t>
            </w:r>
            <w:r>
              <w:rPr>
                <w:spacing w:val="-4"/>
              </w:rPr>
              <w:t xml:space="preserve"> </w:t>
            </w: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controlling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spread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infection. A</w:t>
            </w:r>
            <w:r>
              <w:rPr>
                <w:spacing w:val="-6"/>
              </w:rPr>
              <w:t xml:space="preserve"> </w:t>
            </w:r>
            <w:r>
              <w:t>systematic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published in</w:t>
            </w:r>
            <w:r>
              <w:rPr>
                <w:spacing w:val="-2"/>
              </w:rPr>
              <w:t xml:space="preserve"> </w:t>
            </w:r>
            <w:proofErr w:type="gramStart"/>
            <w:r>
              <w:t>early</w:t>
            </w:r>
            <w:proofErr w:type="gramEnd"/>
          </w:p>
          <w:p w14:paraId="7FB75842" w14:textId="77777777" w:rsidR="0088787E" w:rsidRDefault="001C6BBE">
            <w:pPr>
              <w:pStyle w:val="TableParagraph"/>
              <w:spacing w:before="2" w:line="231" w:lineRule="exact"/>
            </w:pPr>
            <w:r>
              <w:t>April</w:t>
            </w:r>
            <w:r>
              <w:rPr>
                <w:spacing w:val="-4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closures</w:t>
            </w:r>
            <w:r>
              <w:rPr>
                <w:spacing w:val="-5"/>
              </w:rPr>
              <w:t xml:space="preserve"> </w:t>
            </w:r>
            <w:r>
              <w:t>had</w:t>
            </w:r>
            <w:r>
              <w:rPr>
                <w:spacing w:val="-1"/>
              </w:rPr>
              <w:t xml:space="preserve"> </w:t>
            </w:r>
            <w:r>
              <w:t>contributed</w:t>
            </w:r>
            <w:r>
              <w:rPr>
                <w:spacing w:val="-2"/>
              </w:rPr>
              <w:t xml:space="preserve"> </w:t>
            </w:r>
            <w:r>
              <w:t>little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SARS</w:t>
            </w:r>
          </w:p>
        </w:tc>
      </w:tr>
    </w:tbl>
    <w:p w14:paraId="7FB75844" w14:textId="77777777" w:rsidR="0088787E" w:rsidRDefault="0088787E">
      <w:pPr>
        <w:spacing w:line="231" w:lineRule="exact"/>
        <w:sectPr w:rsidR="0088787E">
          <w:pgSz w:w="11910" w:h="16840"/>
          <w:pgMar w:top="1280" w:right="1080" w:bottom="1740" w:left="1080" w:header="0" w:footer="1556" w:gutter="0"/>
          <w:cols w:space="720"/>
        </w:sectPr>
      </w:pPr>
    </w:p>
    <w:p w14:paraId="7FB75845" w14:textId="77777777" w:rsidR="0088787E" w:rsidRDefault="0088787E">
      <w:pPr>
        <w:spacing w:before="2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</w:tblGrid>
      <w:tr w:rsidR="0088787E" w14:paraId="7FB75852" w14:textId="77777777">
        <w:trPr>
          <w:trHeight w:val="13409"/>
        </w:trPr>
        <w:tc>
          <w:tcPr>
            <w:tcW w:w="9519" w:type="dxa"/>
          </w:tcPr>
          <w:p w14:paraId="7FB75846" w14:textId="77777777" w:rsidR="0088787E" w:rsidRDefault="001C6BBE">
            <w:pPr>
              <w:pStyle w:val="TableParagraph"/>
              <w:spacing w:line="242" w:lineRule="auto"/>
            </w:pPr>
            <w:r>
              <w:t>epidemics.</w:t>
            </w:r>
            <w:r>
              <w:rPr>
                <w:vertAlign w:val="superscript"/>
              </w:rPr>
              <w:t>6</w:t>
            </w:r>
            <w:r>
              <w:t xml:space="preserve"> Modelling by members of the UK Government’s Scientific Advis</w:t>
            </w:r>
            <w:r>
              <w:t>ory Group on emergencies</w:t>
            </w:r>
            <w:r>
              <w:rPr>
                <w:spacing w:val="-3"/>
              </w:rPr>
              <w:t xml:space="preserve"> </w:t>
            </w:r>
            <w:r>
              <w:t>suggests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closing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8"/>
              </w:rPr>
              <w:t xml:space="preserve"> </w:t>
            </w:r>
            <w:r>
              <w:t>a marginal effect</w:t>
            </w:r>
            <w:r>
              <w:rPr>
                <w:spacing w:val="-4"/>
              </w:rPr>
              <w:t xml:space="preserve"> </w:t>
            </w:r>
            <w:r>
              <w:t>alongside other</w:t>
            </w:r>
            <w:r>
              <w:rPr>
                <w:spacing w:val="-1"/>
              </w:rPr>
              <w:t xml:space="preserve"> </w:t>
            </w:r>
            <w:r>
              <w:t>social distancing interventions.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  <w:proofErr w:type="gramStart"/>
            <w:r>
              <w:rPr>
                <w:vertAlign w:val="superscript"/>
              </w:rPr>
              <w:t>8</w:t>
            </w:r>
            <w:proofErr w:type="gramEnd"/>
          </w:p>
          <w:p w14:paraId="7FB75847" w14:textId="77777777" w:rsidR="0088787E" w:rsidRDefault="008878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FB75848" w14:textId="77777777" w:rsidR="0088787E" w:rsidRDefault="001C6BBE">
            <w:pPr>
              <w:pStyle w:val="TableParagraph"/>
            </w:pPr>
            <w:r>
              <w:t>If the public health benefits of school closures are small, their impact on children’s education, 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wellbeing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6"/>
              </w:rPr>
              <w:t xml:space="preserve"> </w:t>
            </w:r>
            <w:r>
              <w:t>consideration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deciding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7"/>
              </w:rPr>
              <w:t xml:space="preserve"> </w:t>
            </w:r>
            <w:r>
              <w:t>schools</w:t>
            </w:r>
            <w:r>
              <w:rPr>
                <w:spacing w:val="-5"/>
              </w:rPr>
              <w:t xml:space="preserve"> </w:t>
            </w:r>
            <w:r>
              <w:t>should remain closed, what support for learning should be provided whil</w:t>
            </w:r>
            <w:r>
              <w:t>e they are closed, and what additional support may be necessary once they reopen.</w:t>
            </w:r>
          </w:p>
          <w:p w14:paraId="7FB75849" w14:textId="77777777" w:rsidR="0088787E" w:rsidRDefault="0088787E">
            <w:pPr>
              <w:pStyle w:val="TableParagraph"/>
              <w:ind w:left="0"/>
              <w:rPr>
                <w:b/>
              </w:rPr>
            </w:pPr>
          </w:p>
          <w:p w14:paraId="7FB7584A" w14:textId="77777777" w:rsidR="0088787E" w:rsidRDefault="001C6BBE">
            <w:pPr>
              <w:pStyle w:val="TableParagraph"/>
              <w:ind w:right="121"/>
            </w:pPr>
            <w:r>
              <w:t>The effects of school closures (</w:t>
            </w:r>
            <w:proofErr w:type="gramStart"/>
            <w:r>
              <w:t>e.g.</w:t>
            </w:r>
            <w:proofErr w:type="gramEnd"/>
            <w:r>
              <w:t xml:space="preserve"> for summer holidays) on educational inequalities are a longstanding focus of research and policy interest. An influential US study from </w:t>
            </w:r>
            <w:r>
              <w:t>the 1980s suggested that more than two thirds of the total attainment gap between children from ‘high poverty’</w:t>
            </w:r>
            <w:r>
              <w:rPr>
                <w:spacing w:val="-2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arose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summer</w:t>
            </w:r>
            <w:r>
              <w:rPr>
                <w:spacing w:val="-2"/>
              </w:rPr>
              <w:t xml:space="preserve"> </w:t>
            </w:r>
            <w:r>
              <w:t>holidays.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recently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results of this study, and other early studies of ‘summer learning </w:t>
            </w:r>
            <w:r>
              <w:t>loss’ have been questioned.</w:t>
            </w:r>
            <w:r>
              <w:rPr>
                <w:vertAlign w:val="superscript"/>
              </w:rPr>
              <w:t>9</w:t>
            </w:r>
            <w:r>
              <w:t xml:space="preserve"> A reanalysis of the data from the original study, and subsequent studies using more modern methods of assessment, have failed to replicate the finding of widening attainment gaps.</w:t>
            </w:r>
            <w:r>
              <w:rPr>
                <w:vertAlign w:val="superscript"/>
              </w:rPr>
              <w:t>10</w:t>
            </w:r>
            <w:r>
              <w:t xml:space="preserve"> A rapid evidence review by the Education Endo</w:t>
            </w:r>
            <w:r>
              <w:t>wment Foundation, conducted shortly after the COVID19 closures began,</w:t>
            </w:r>
            <w:r>
              <w:rPr>
                <w:vertAlign w:val="superscript"/>
              </w:rPr>
              <w:t>11</w:t>
            </w:r>
            <w:r>
              <w:t xml:space="preserve"> acknowledged the questions raised over the previous studies but concluded from a synthesis of the evidence from nine studies of primary school children that</w:t>
            </w:r>
            <w:r>
              <w:rPr>
                <w:spacing w:val="40"/>
              </w:rPr>
              <w:t xml:space="preserve"> </w:t>
            </w:r>
            <w:r>
              <w:t>the attainment gap between disadvantaged children and their peers could widen by 36% if the closures lasted until September.</w:t>
            </w:r>
          </w:p>
          <w:p w14:paraId="7FB7584B" w14:textId="77777777" w:rsidR="0088787E" w:rsidRDefault="0088787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FB7584C" w14:textId="77777777" w:rsidR="0088787E" w:rsidRDefault="001C6BBE">
            <w:pPr>
              <w:pStyle w:val="TableParagraph"/>
              <w:ind w:right="117"/>
            </w:pPr>
            <w:r>
              <w:t>Overall, the evidence that closures widen inequalities (often referred to as ‘summer learning loss’)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contradictory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appl</w:t>
            </w:r>
            <w:r>
              <w:t>icability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questionable</w:t>
            </w:r>
            <w:r>
              <w:rPr>
                <w:spacing w:val="-1"/>
              </w:rPr>
              <w:t xml:space="preserve"> </w:t>
            </w:r>
            <w:r>
              <w:t>as few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1"/>
              </w:rPr>
              <w:t xml:space="preserve"> </w:t>
            </w:r>
            <w:r>
              <w:t xml:space="preserve">studies have drawn on data gathered in the UK. We conducted a new analysis of data on a representative sample of UK children at three different ages and set this in the context of a scoping review of </w:t>
            </w:r>
            <w:r>
              <w:t xml:space="preserve">the international literature on the effects of school closures on socio- economic differences in attainment and social, </w:t>
            </w:r>
            <w:proofErr w:type="gramStart"/>
            <w:r>
              <w:t>cognitive</w:t>
            </w:r>
            <w:proofErr w:type="gramEnd"/>
            <w:r>
              <w:t xml:space="preserve"> and emotional development.</w:t>
            </w:r>
          </w:p>
          <w:p w14:paraId="7FB7584D" w14:textId="77777777" w:rsidR="0088787E" w:rsidRDefault="0088787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FB7584E" w14:textId="77777777" w:rsidR="0088787E" w:rsidRDefault="001C6BB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methods</w:t>
            </w:r>
          </w:p>
          <w:p w14:paraId="7FB7584F" w14:textId="77777777" w:rsidR="0088787E" w:rsidRDefault="001C6B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70"/>
              </w:tabs>
              <w:ind w:right="230"/>
            </w:pPr>
            <w:r>
              <w:t>Scoping review: we searched five bibliographic databases (</w:t>
            </w:r>
            <w:proofErr w:type="spellStart"/>
            <w:r>
              <w:t>EconLit</w:t>
            </w:r>
            <w:proofErr w:type="spellEnd"/>
            <w:r>
              <w:t xml:space="preserve">, ERIC, Medline, </w:t>
            </w:r>
            <w:proofErr w:type="spellStart"/>
            <w:r>
              <w:t>Ps</w:t>
            </w:r>
            <w:r>
              <w:t>ychinfo</w:t>
            </w:r>
            <w:proofErr w:type="spellEnd"/>
            <w:r>
              <w:t xml:space="preserve"> and </w:t>
            </w:r>
            <w:proofErr w:type="spellStart"/>
            <w:r>
              <w:t>SocINDEX</w:t>
            </w:r>
            <w:proofErr w:type="spellEnd"/>
            <w:r>
              <w:t xml:space="preserve">) to identify relevant studies published after 1994. We included studies of the impact of school holidays on pupils aged 4-18 years, that examined differences in academic achievement, social, </w:t>
            </w:r>
            <w:proofErr w:type="gramStart"/>
            <w:r>
              <w:t>cognitive</w:t>
            </w:r>
            <w:proofErr w:type="gramEnd"/>
            <w:r>
              <w:t xml:space="preserve"> or emotional development, or </w:t>
            </w:r>
            <w:proofErr w:type="spellStart"/>
            <w:r>
              <w:t>behav</w:t>
            </w:r>
            <w:r>
              <w:t>iour</w:t>
            </w:r>
            <w:proofErr w:type="spellEnd"/>
            <w:r>
              <w:t xml:space="preserve">. Studies could be conducted anywhere in the world, so long as they were published in English. Our initial searches identified 3053 papers, of which 2913 were excluded </w:t>
            </w:r>
            <w:proofErr w:type="gramStart"/>
            <w:r>
              <w:t>on the basis</w:t>
            </w:r>
            <w:r>
              <w:rPr>
                <w:spacing w:val="-1"/>
              </w:rPr>
              <w:t xml:space="preserve"> </w:t>
            </w:r>
            <w:r>
              <w:t>of</w:t>
            </w:r>
            <w:proofErr w:type="gramEnd"/>
            <w:r>
              <w:t xml:space="preserve"> their title or abstract. The remaining 140 were assessed in detail b</w:t>
            </w:r>
            <w:r>
              <w:t>ased on the full</w:t>
            </w:r>
            <w:r>
              <w:rPr>
                <w:spacing w:val="-2"/>
              </w:rPr>
              <w:t xml:space="preserve"> </w:t>
            </w:r>
            <w:r>
              <w:t>text,</w:t>
            </w:r>
            <w:r>
              <w:rPr>
                <w:spacing w:val="-4"/>
              </w:rPr>
              <w:t xml:space="preserve"> </w:t>
            </w:r>
            <w:r>
              <w:t xml:space="preserve">and a sample </w:t>
            </w:r>
            <w:proofErr w:type="gramStart"/>
            <w:r>
              <w:t>were</w:t>
            </w:r>
            <w:proofErr w:type="gramEnd"/>
            <w:r>
              <w:t xml:space="preserve"> assessed by</w:t>
            </w:r>
            <w:r>
              <w:rPr>
                <w:spacing w:val="-3"/>
              </w:rPr>
              <w:t xml:space="preserve"> </w:t>
            </w:r>
            <w:r>
              <w:t>two researchers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 we were applying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consistently.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extracted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28 papers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inclusion </w:t>
            </w:r>
            <w:r>
              <w:rPr>
                <w:spacing w:val="-2"/>
              </w:rPr>
              <w:t>criteria.</w:t>
            </w:r>
          </w:p>
          <w:p w14:paraId="7FB75850" w14:textId="77777777" w:rsidR="0088787E" w:rsidRDefault="0088787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FB75851" w14:textId="77777777" w:rsidR="0088787E" w:rsidRDefault="001C6B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70"/>
              </w:tabs>
              <w:ind w:right="200"/>
            </w:pPr>
            <w:r>
              <w:t>Analysis of Millennium Cohort Study: the UK Millennium Cohort Study (MCS)</w:t>
            </w:r>
            <w:r>
              <w:rPr>
                <w:vertAlign w:val="superscript"/>
              </w:rPr>
              <w:t>12</w:t>
            </w:r>
            <w:r>
              <w:t xml:space="preserve"> is a nationally representative, longitudinal survey of children born in the UK, September 2000- January 2002. The survey uses a stratified clustered sampling design to oversample c</w:t>
            </w:r>
            <w:r>
              <w:t>hildren living in Wales, Scotland and Northern Ireland, disadvantaged areas and, in England, those with high proportions of ethnic minority groups. In our analysis we used weights</w:t>
            </w:r>
            <w:r>
              <w:rPr>
                <w:spacing w:val="-2"/>
              </w:rPr>
              <w:t xml:space="preserve"> </w:t>
            </w:r>
            <w:r>
              <w:t>to correct</w:t>
            </w:r>
            <w:r>
              <w:rPr>
                <w:spacing w:val="-3"/>
              </w:rPr>
              <w:t xml:space="preserve"> </w:t>
            </w:r>
            <w:r>
              <w:t>for the</w:t>
            </w:r>
            <w:r>
              <w:rPr>
                <w:spacing w:val="-4"/>
              </w:rPr>
              <w:t xml:space="preserve"> </w:t>
            </w:r>
            <w:r>
              <w:t>oversampling</w:t>
            </w:r>
            <w:r>
              <w:rPr>
                <w:spacing w:val="-4"/>
              </w:rPr>
              <w:t xml:space="preserve"> </w:t>
            </w:r>
            <w:r>
              <w:t>so that</w:t>
            </w:r>
            <w:r>
              <w:rPr>
                <w:spacing w:val="-3"/>
              </w:rPr>
              <w:t xml:space="preserve"> </w:t>
            </w:r>
            <w:r>
              <w:t>the results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 xml:space="preserve">the composition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UK population. We used data gathered when the children were aged 7, 11 and 14. At each of these</w:t>
            </w:r>
            <w:r>
              <w:rPr>
                <w:spacing w:val="-2"/>
              </w:rPr>
              <w:t xml:space="preserve"> </w:t>
            </w:r>
            <w:r>
              <w:t>‘sweeps’</w:t>
            </w:r>
            <w:r>
              <w:rPr>
                <w:spacing w:val="-5"/>
              </w:rPr>
              <w:t xml:space="preserve"> </w:t>
            </w:r>
            <w:r>
              <w:t>11-13,000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included,</w:t>
            </w:r>
            <w:r>
              <w:rPr>
                <w:spacing w:val="-6"/>
              </w:rPr>
              <w:t xml:space="preserve"> </w:t>
            </w:r>
            <w:r>
              <w:t>with interviews</w:t>
            </w:r>
            <w:r>
              <w:rPr>
                <w:spacing w:val="-10"/>
              </w:rPr>
              <w:t xml:space="preserve"> </w:t>
            </w:r>
            <w:proofErr w:type="gramStart"/>
            <w:r>
              <w:t>are</w:t>
            </w:r>
            <w:r>
              <w:rPr>
                <w:spacing w:val="-2"/>
              </w:rPr>
              <w:t xml:space="preserve"> </w:t>
            </w:r>
            <w:r>
              <w:t>spread</w:t>
            </w:r>
            <w:proofErr w:type="gramEnd"/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year or more. We were therefore able to compare results from children who we</w:t>
            </w:r>
            <w:r>
              <w:t>re assessed in the months before and after the summer holidays, after correcting for the varying composition of the sample in the different months.</w:t>
            </w:r>
          </w:p>
        </w:tc>
      </w:tr>
    </w:tbl>
    <w:p w14:paraId="7FB75853" w14:textId="77777777" w:rsidR="0088787E" w:rsidRDefault="0088787E">
      <w:pPr>
        <w:sectPr w:rsidR="0088787E">
          <w:pgSz w:w="11910" w:h="16840"/>
          <w:pgMar w:top="1280" w:right="1080" w:bottom="1740" w:left="1080" w:header="0" w:footer="1556" w:gutter="0"/>
          <w:cols w:space="720"/>
        </w:sectPr>
      </w:pPr>
    </w:p>
    <w:p w14:paraId="7FB75854" w14:textId="77777777" w:rsidR="0088787E" w:rsidRDefault="001C6BBE">
      <w:pPr>
        <w:spacing w:before="2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FB75896" wp14:editId="0B3A4A1C">
                <wp:extent cx="5810250" cy="1726564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1726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7"/>
                              <w:gridCol w:w="3007"/>
                              <w:gridCol w:w="3007"/>
                            </w:tblGrid>
                            <w:tr w:rsidR="0088787E" w14:paraId="7FB758A4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3007" w:type="dxa"/>
                                </w:tcPr>
                                <w:p w14:paraId="7FB7589F" w14:textId="77777777" w:rsidR="0088787E" w:rsidRDefault="0088787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B758A0" w14:textId="77777777" w:rsidR="0088787E" w:rsidRDefault="001C6BBE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outcome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4"/>
                                    </w:rPr>
                                    <w:t>over</w:t>
                                  </w:r>
                                  <w:proofErr w:type="gramEnd"/>
                                </w:p>
                                <w:p w14:paraId="7FB758A1" w14:textId="77777777" w:rsidR="0088787E" w:rsidRDefault="001C6BBE">
                                  <w:pPr>
                                    <w:pStyle w:val="TableParagraph"/>
                                    <w:spacing w:before="2" w:line="274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 xml:space="preserve">school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4"/>
                                    </w:rPr>
                                    <w:t>holidays?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758A2" w14:textId="77777777" w:rsidR="0088787E" w:rsidRDefault="001C6BBE"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the change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vary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4"/>
                                    </w:rPr>
                                    <w:t>by</w:t>
                                  </w:r>
                                  <w:proofErr w:type="gramEnd"/>
                                </w:p>
                                <w:p w14:paraId="7FB758A3" w14:textId="77777777" w:rsidR="0088787E" w:rsidRDefault="001C6BBE">
                                  <w:pPr>
                                    <w:pStyle w:val="TableParagraph"/>
                                    <w:spacing w:before="2" w:line="274" w:lineRule="exact"/>
                                    <w:ind w:left="101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mother’s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 xml:space="preserve">education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>level?</w:t>
                                  </w:r>
                                </w:p>
                              </w:tc>
                            </w:tr>
                            <w:tr w:rsidR="0088787E" w14:paraId="7FB758A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007" w:type="dxa"/>
                                </w:tcPr>
                                <w:p w14:paraId="7FB758A5" w14:textId="77777777" w:rsidR="0088787E" w:rsidRDefault="001C6BBE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Reading,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B758A6" w14:textId="77777777" w:rsidR="0088787E" w:rsidRDefault="001C6BBE">
                                  <w:pPr>
                                    <w:pStyle w:val="TableParagraph"/>
                                    <w:spacing w:line="270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Worsening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758A7" w14:textId="77777777" w:rsidR="0088787E" w:rsidRDefault="001C6BBE">
                                  <w:pPr>
                                    <w:pStyle w:val="TableParagraph"/>
                                    <w:spacing w:line="270" w:lineRule="exact"/>
                                    <w:ind w:left="10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8787E" w14:paraId="7FB758AC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007" w:type="dxa"/>
                                </w:tcPr>
                                <w:p w14:paraId="7FB758A9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Reading,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B758AA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758AB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8787E" w14:paraId="7FB758B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007" w:type="dxa"/>
                                </w:tcPr>
                                <w:p w14:paraId="7FB758AD" w14:textId="77777777" w:rsidR="0088787E" w:rsidRDefault="001C6BBE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Reading,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B758AE" w14:textId="77777777" w:rsidR="0088787E" w:rsidRDefault="001C6BBE">
                                  <w:pPr>
                                    <w:pStyle w:val="TableParagraph"/>
                                    <w:spacing w:line="270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Small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improvement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758AF" w14:textId="77777777" w:rsidR="0088787E" w:rsidRDefault="001C6BBE">
                                  <w:pPr>
                                    <w:pStyle w:val="TableParagraph"/>
                                    <w:spacing w:line="270" w:lineRule="exact"/>
                                    <w:ind w:left="10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8787E" w14:paraId="7FB758B4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007" w:type="dxa"/>
                                </w:tcPr>
                                <w:p w14:paraId="7FB758B1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SDQ,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B758B2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Worsening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758B3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8787E" w14:paraId="7FB758B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007" w:type="dxa"/>
                                </w:tcPr>
                                <w:p w14:paraId="7FB758B5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SDQ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B758B6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758B7" w14:textId="77777777" w:rsidR="0088787E" w:rsidRDefault="001C6BBE">
                                  <w:pPr>
                                    <w:pStyle w:val="TableParagraph"/>
                                    <w:spacing w:before="1" w:line="274" w:lineRule="exact"/>
                                    <w:ind w:left="10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8787E" w14:paraId="7FB758BD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3007" w:type="dxa"/>
                                </w:tcPr>
                                <w:p w14:paraId="7FB758B9" w14:textId="77777777" w:rsidR="0088787E" w:rsidRDefault="001C6BBE">
                                  <w:pPr>
                                    <w:pStyle w:val="TableParagraph"/>
                                    <w:spacing w:line="290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SDQ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B758BA" w14:textId="77777777" w:rsidR="0088787E" w:rsidRDefault="001C6BBE">
                                  <w:pPr>
                                    <w:pStyle w:val="TableParagraph"/>
                                    <w:spacing w:line="290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Worsening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758BB" w14:textId="77777777" w:rsidR="0088787E" w:rsidRDefault="001C6BBE">
                                  <w:pPr>
                                    <w:pStyle w:val="TableParagraph"/>
                                    <w:spacing w:line="290" w:lineRule="exact"/>
                                    <w:ind w:left="10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Lower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groups</w:t>
                                  </w:r>
                                </w:p>
                                <w:p w14:paraId="7FB758BC" w14:textId="77777777" w:rsidR="0088787E" w:rsidRDefault="001C6BBE">
                                  <w:pPr>
                                    <w:pStyle w:val="TableParagraph"/>
                                    <w:spacing w:before="2" w:line="274" w:lineRule="exact"/>
                                    <w:ind w:left="10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fare</w:t>
                                  </w:r>
                                  <w:r>
                                    <w:rPr>
                                      <w:rFonts w:ascii="Calibri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worse</w:t>
                                  </w:r>
                                </w:p>
                              </w:tc>
                            </w:tr>
                          </w:tbl>
                          <w:p w14:paraId="7FB758BE" w14:textId="77777777" w:rsidR="0088787E" w:rsidRDefault="0088787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B7589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57.5pt;height:1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7"/>
                        <w:gridCol w:w="3007"/>
                        <w:gridCol w:w="3007"/>
                      </w:tblGrid>
                      <w:tr w:rsidR="0088787E" w14:paraId="7FB758A4" w14:textId="77777777">
                        <w:trPr>
                          <w:trHeight w:val="590"/>
                        </w:trPr>
                        <w:tc>
                          <w:tcPr>
                            <w:tcW w:w="3007" w:type="dxa"/>
                          </w:tcPr>
                          <w:p w14:paraId="7FB7589F" w14:textId="77777777" w:rsidR="0088787E" w:rsidRDefault="0088787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  <w:tcBorders>
                              <w:right w:val="single" w:sz="6" w:space="0" w:color="000000"/>
                            </w:tcBorders>
                          </w:tcPr>
                          <w:p w14:paraId="7FB758A0" w14:textId="77777777" w:rsidR="0088787E" w:rsidRDefault="001C6BBE"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outcome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change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>over</w:t>
                            </w:r>
                            <w:proofErr w:type="gramEnd"/>
                          </w:p>
                          <w:p w14:paraId="7FB758A1" w14:textId="77777777" w:rsidR="0088787E" w:rsidRDefault="001C6BBE">
                            <w:pPr>
                              <w:pStyle w:val="TableParagraph"/>
                              <w:spacing w:before="2" w:line="274" w:lineRule="exact"/>
                              <w:ind w:left="104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school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holidays?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left w:val="single" w:sz="6" w:space="0" w:color="000000"/>
                            </w:tcBorders>
                          </w:tcPr>
                          <w:p w14:paraId="7FB758A2" w14:textId="77777777" w:rsidR="0088787E" w:rsidRDefault="001C6BBE"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the change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vary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by</w:t>
                            </w:r>
                            <w:proofErr w:type="gramEnd"/>
                          </w:p>
                          <w:p w14:paraId="7FB758A3" w14:textId="77777777" w:rsidR="0088787E" w:rsidRDefault="001C6BBE">
                            <w:pPr>
                              <w:pStyle w:val="TableParagraph"/>
                              <w:spacing w:before="2" w:line="274" w:lineRule="exact"/>
                              <w:ind w:left="101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mother’s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education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level?</w:t>
                            </w:r>
                          </w:p>
                        </w:tc>
                      </w:tr>
                      <w:tr w:rsidR="0088787E" w14:paraId="7FB758A8" w14:textId="77777777">
                        <w:trPr>
                          <w:trHeight w:val="290"/>
                        </w:trPr>
                        <w:tc>
                          <w:tcPr>
                            <w:tcW w:w="3007" w:type="dxa"/>
                          </w:tcPr>
                          <w:p w14:paraId="7FB758A5" w14:textId="77777777" w:rsidR="0088787E" w:rsidRDefault="001C6BBE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Reading,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right w:val="single" w:sz="6" w:space="0" w:color="000000"/>
                            </w:tcBorders>
                          </w:tcPr>
                          <w:p w14:paraId="7FB758A6" w14:textId="77777777" w:rsidR="0088787E" w:rsidRDefault="001C6BBE">
                            <w:pPr>
                              <w:pStyle w:val="TableParagraph"/>
                              <w:spacing w:line="270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Worsening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left w:val="single" w:sz="6" w:space="0" w:color="000000"/>
                            </w:tcBorders>
                          </w:tcPr>
                          <w:p w14:paraId="7FB758A7" w14:textId="77777777" w:rsidR="0088787E" w:rsidRDefault="001C6BBE">
                            <w:pPr>
                              <w:pStyle w:val="TableParagraph"/>
                              <w:spacing w:line="270" w:lineRule="exact"/>
                              <w:ind w:left="10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88787E" w14:paraId="7FB758AC" w14:textId="77777777">
                        <w:trPr>
                          <w:trHeight w:val="295"/>
                        </w:trPr>
                        <w:tc>
                          <w:tcPr>
                            <w:tcW w:w="3007" w:type="dxa"/>
                          </w:tcPr>
                          <w:p w14:paraId="7FB758A9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Reading,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right w:val="single" w:sz="6" w:space="0" w:color="000000"/>
                            </w:tcBorders>
                          </w:tcPr>
                          <w:p w14:paraId="7FB758AA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left w:val="single" w:sz="6" w:space="0" w:color="000000"/>
                            </w:tcBorders>
                          </w:tcPr>
                          <w:p w14:paraId="7FB758AB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88787E" w14:paraId="7FB758B0" w14:textId="77777777">
                        <w:trPr>
                          <w:trHeight w:val="290"/>
                        </w:trPr>
                        <w:tc>
                          <w:tcPr>
                            <w:tcW w:w="3007" w:type="dxa"/>
                          </w:tcPr>
                          <w:p w14:paraId="7FB758AD" w14:textId="77777777" w:rsidR="0088787E" w:rsidRDefault="001C6BBE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Reading,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right w:val="single" w:sz="6" w:space="0" w:color="000000"/>
                            </w:tcBorders>
                          </w:tcPr>
                          <w:p w14:paraId="7FB758AE" w14:textId="77777777" w:rsidR="0088787E" w:rsidRDefault="001C6BBE">
                            <w:pPr>
                              <w:pStyle w:val="TableParagraph"/>
                              <w:spacing w:line="270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Small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improvement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left w:val="single" w:sz="6" w:space="0" w:color="000000"/>
                            </w:tcBorders>
                          </w:tcPr>
                          <w:p w14:paraId="7FB758AF" w14:textId="77777777" w:rsidR="0088787E" w:rsidRDefault="001C6BBE">
                            <w:pPr>
                              <w:pStyle w:val="TableParagraph"/>
                              <w:spacing w:line="270" w:lineRule="exact"/>
                              <w:ind w:left="10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88787E" w14:paraId="7FB758B4" w14:textId="77777777">
                        <w:trPr>
                          <w:trHeight w:val="295"/>
                        </w:trPr>
                        <w:tc>
                          <w:tcPr>
                            <w:tcW w:w="3007" w:type="dxa"/>
                          </w:tcPr>
                          <w:p w14:paraId="7FB758B1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SDQ,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right w:val="single" w:sz="6" w:space="0" w:color="000000"/>
                            </w:tcBorders>
                          </w:tcPr>
                          <w:p w14:paraId="7FB758B2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Worsening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left w:val="single" w:sz="6" w:space="0" w:color="000000"/>
                            </w:tcBorders>
                          </w:tcPr>
                          <w:p w14:paraId="7FB758B3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88787E" w14:paraId="7FB758B8" w14:textId="77777777">
                        <w:trPr>
                          <w:trHeight w:val="294"/>
                        </w:trPr>
                        <w:tc>
                          <w:tcPr>
                            <w:tcW w:w="3007" w:type="dxa"/>
                          </w:tcPr>
                          <w:p w14:paraId="7FB758B5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SDQ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right w:val="single" w:sz="6" w:space="0" w:color="000000"/>
                            </w:tcBorders>
                          </w:tcPr>
                          <w:p w14:paraId="7FB758B6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left w:val="single" w:sz="6" w:space="0" w:color="000000"/>
                            </w:tcBorders>
                          </w:tcPr>
                          <w:p w14:paraId="7FB758B7" w14:textId="77777777" w:rsidR="0088787E" w:rsidRDefault="001C6BBE">
                            <w:pPr>
                              <w:pStyle w:val="TableParagraph"/>
                              <w:spacing w:before="1" w:line="274" w:lineRule="exact"/>
                              <w:ind w:left="10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88787E" w14:paraId="7FB758BD" w14:textId="77777777">
                        <w:trPr>
                          <w:trHeight w:val="585"/>
                        </w:trPr>
                        <w:tc>
                          <w:tcPr>
                            <w:tcW w:w="3007" w:type="dxa"/>
                          </w:tcPr>
                          <w:p w14:paraId="7FB758B9" w14:textId="77777777" w:rsidR="0088787E" w:rsidRDefault="001C6BBE">
                            <w:pPr>
                              <w:pStyle w:val="TableParagraph"/>
                              <w:spacing w:line="290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SDQ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right w:val="single" w:sz="6" w:space="0" w:color="000000"/>
                            </w:tcBorders>
                          </w:tcPr>
                          <w:p w14:paraId="7FB758BA" w14:textId="77777777" w:rsidR="0088787E" w:rsidRDefault="001C6BBE">
                            <w:pPr>
                              <w:pStyle w:val="TableParagraph"/>
                              <w:spacing w:line="290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Worsening</w:t>
                            </w:r>
                          </w:p>
                        </w:tc>
                        <w:tc>
                          <w:tcPr>
                            <w:tcW w:w="3007" w:type="dxa"/>
                            <w:tcBorders>
                              <w:left w:val="single" w:sz="6" w:space="0" w:color="000000"/>
                            </w:tcBorders>
                          </w:tcPr>
                          <w:p w14:paraId="7FB758BB" w14:textId="77777777" w:rsidR="0088787E" w:rsidRDefault="001C6BBE">
                            <w:pPr>
                              <w:pStyle w:val="TableParagraph"/>
                              <w:spacing w:line="290" w:lineRule="exact"/>
                              <w:ind w:left="10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Lower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groups</w:t>
                            </w:r>
                          </w:p>
                          <w:p w14:paraId="7FB758BC" w14:textId="77777777" w:rsidR="0088787E" w:rsidRDefault="001C6BBE">
                            <w:pPr>
                              <w:pStyle w:val="TableParagraph"/>
                              <w:spacing w:before="2" w:line="274" w:lineRule="exact"/>
                              <w:ind w:left="10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fare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worse</w:t>
                            </w:r>
                          </w:p>
                        </w:tc>
                      </w:tr>
                    </w:tbl>
                    <w:p w14:paraId="7FB758BE" w14:textId="77777777" w:rsidR="0088787E" w:rsidRDefault="0088787E">
                      <w:pPr>
                        <w:pStyle w:val="BodyTex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</w:tblGrid>
      <w:tr w:rsidR="0088787E" w14:paraId="7FB7586D" w14:textId="77777777">
        <w:trPr>
          <w:trHeight w:val="13598"/>
        </w:trPr>
        <w:tc>
          <w:tcPr>
            <w:tcW w:w="9519" w:type="dxa"/>
          </w:tcPr>
          <w:p w14:paraId="7FB75855" w14:textId="77777777" w:rsidR="0088787E" w:rsidRDefault="001C6BBE">
            <w:pPr>
              <w:pStyle w:val="TableParagraph"/>
              <w:ind w:left="470" w:right="195"/>
            </w:pPr>
            <w:r>
              <w:lastRenderedPageBreak/>
              <w:t xml:space="preserve">To measure social and emotional wellbeing we used the total difficulties score from the Strengths and Difficulties Questionnaire, a </w:t>
            </w:r>
            <w:proofErr w:type="gramStart"/>
            <w:r>
              <w:t>25 item</w:t>
            </w:r>
            <w:proofErr w:type="gramEnd"/>
            <w:r>
              <w:t xml:space="preserve"> measure completed by the mother, applying standard cutoffs to distinguish ‘normal’ from ‘borderline-abnormal’ scores</w:t>
            </w:r>
            <w:r>
              <w:t xml:space="preserve">. To measure cognitive </w:t>
            </w:r>
            <w:proofErr w:type="gramStart"/>
            <w:r>
              <w:t>ability</w:t>
            </w:r>
            <w:proofErr w:type="gramEnd"/>
            <w:r>
              <w:t xml:space="preserve"> we focused</w:t>
            </w:r>
            <w:r>
              <w:rPr>
                <w:spacing w:val="-2"/>
              </w:rPr>
              <w:t xml:space="preserve"> </w:t>
            </w:r>
            <w:r>
              <w:t>on reading</w:t>
            </w:r>
            <w:r>
              <w:rPr>
                <w:spacing w:val="-2"/>
              </w:rPr>
              <w:t xml:space="preserve"> </w:t>
            </w:r>
            <w:r>
              <w:t>scores,</w:t>
            </w:r>
            <w:r>
              <w:rPr>
                <w:spacing w:val="-1"/>
              </w:rPr>
              <w:t xml:space="preserve"> </w:t>
            </w:r>
            <w:r>
              <w:t>as these have</w:t>
            </w:r>
            <w:r>
              <w:rPr>
                <w:spacing w:val="-2"/>
              </w:rPr>
              <w:t xml:space="preserve"> </w:t>
            </w:r>
            <w:r>
              <w:t>been collected at each of the three sweeps of the survey that we were using. Each sweep uses different measure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reading</w:t>
            </w:r>
            <w:r>
              <w:rPr>
                <w:spacing w:val="-6"/>
              </w:rPr>
              <w:t xml:space="preserve"> </w:t>
            </w:r>
            <w:r>
              <w:t>ability,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sweep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tested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same</w:t>
            </w:r>
            <w:r>
              <w:rPr>
                <w:spacing w:val="-1"/>
              </w:rPr>
              <w:t xml:space="preserve"> </w:t>
            </w:r>
            <w:r>
              <w:t>way, so that we can compare scores collected before and after the s</w:t>
            </w:r>
            <w:r>
              <w:t>ummer holidays. For the analyses reported here we used age-</w:t>
            </w:r>
            <w:proofErr w:type="spellStart"/>
            <w:r>
              <w:t>standardised</w:t>
            </w:r>
            <w:proofErr w:type="spellEnd"/>
            <w:r>
              <w:t xml:space="preserve"> scores.</w:t>
            </w:r>
            <w:r>
              <w:rPr>
                <w:vertAlign w:val="superscript"/>
              </w:rPr>
              <w:t>13</w:t>
            </w:r>
          </w:p>
          <w:p w14:paraId="7FB75856" w14:textId="77777777" w:rsidR="0088787E" w:rsidRDefault="0088787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FB75857" w14:textId="77777777" w:rsidR="0088787E" w:rsidRDefault="001C6BBE">
            <w:pPr>
              <w:pStyle w:val="TableParagraph"/>
              <w:ind w:left="470" w:right="117"/>
            </w:pPr>
            <w:r>
              <w:t>We used mother’s education as our main measure of the children’s socio-economic circumstances, distinguishing children whose mothers had high (a university degree), moderate</w:t>
            </w:r>
            <w:r>
              <w:t xml:space="preserve"> (A-levels,</w:t>
            </w:r>
            <w:r>
              <w:rPr>
                <w:spacing w:val="-3"/>
              </w:rPr>
              <w:t xml:space="preserve"> </w:t>
            </w:r>
            <w:r>
              <w:t>GCSE</w:t>
            </w:r>
            <w:r>
              <w:rPr>
                <w:spacing w:val="-4"/>
              </w:rPr>
              <w:t xml:space="preserve"> </w:t>
            </w:r>
            <w:r>
              <w:t>grades</w:t>
            </w:r>
            <w:r>
              <w:rPr>
                <w:spacing w:val="-3"/>
              </w:rPr>
              <w:t xml:space="preserve"> </w:t>
            </w:r>
            <w:r>
              <w:t>A-C,</w:t>
            </w:r>
            <w:r>
              <w:rPr>
                <w:spacing w:val="-4"/>
              </w:rPr>
              <w:t xml:space="preserve"> </w:t>
            </w:r>
            <w:r>
              <w:t>a diploma or</w:t>
            </w:r>
            <w:r>
              <w:rPr>
                <w:spacing w:val="-6"/>
              </w:rPr>
              <w:t xml:space="preserve"> </w:t>
            </w:r>
            <w:r>
              <w:t>equivalent)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low</w:t>
            </w:r>
            <w:r>
              <w:rPr>
                <w:spacing w:val="-2"/>
              </w:rPr>
              <w:t xml:space="preserve"> </w:t>
            </w:r>
            <w:r>
              <w:t>(GCSE</w:t>
            </w:r>
            <w:r>
              <w:rPr>
                <w:spacing w:val="-4"/>
              </w:rPr>
              <w:t xml:space="preserve"> </w:t>
            </w:r>
            <w:r>
              <w:t>grades</w:t>
            </w:r>
            <w:r>
              <w:rPr>
                <w:spacing w:val="-3"/>
              </w:rPr>
              <w:t xml:space="preserve"> </w:t>
            </w:r>
            <w:r>
              <w:t>D-G, equivalent or none) levels of qualifications. We fitted regression models with interaction terms to identify whether inequalities in our outcomes widened between the months</w:t>
            </w:r>
            <w:r>
              <w:rPr>
                <w:spacing w:val="-1"/>
              </w:rPr>
              <w:t xml:space="preserve"> </w:t>
            </w:r>
            <w:r>
              <w:t>befo</w:t>
            </w:r>
            <w:r>
              <w:t>re and the months after the holidays.</w:t>
            </w:r>
          </w:p>
          <w:p w14:paraId="7FB75858" w14:textId="77777777" w:rsidR="0088787E" w:rsidRDefault="0088787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FB75859" w14:textId="77777777" w:rsidR="0088787E" w:rsidRDefault="001C6B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Results</w:t>
            </w:r>
          </w:p>
          <w:p w14:paraId="7FB7585A" w14:textId="77777777" w:rsidR="0088787E" w:rsidRDefault="001C6BB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70"/>
              </w:tabs>
              <w:spacing w:before="2"/>
              <w:ind w:right="139"/>
            </w:pPr>
            <w:r>
              <w:t xml:space="preserve">Scoping review: of the 28 included studies, 20 were from the US, three from Canada, two from New Zealand and three from European countries. </w:t>
            </w:r>
            <w:proofErr w:type="gramStart"/>
            <w:r>
              <w:t>Length</w:t>
            </w:r>
            <w:proofErr w:type="gramEnd"/>
            <w:r>
              <w:t xml:space="preserve"> of school holidays in the included studies varied from six to 11 weeks. Outcomes included reading, </w:t>
            </w:r>
            <w:proofErr w:type="spellStart"/>
            <w:proofErr w:type="gramStart"/>
            <w:r>
              <w:t>maths</w:t>
            </w:r>
            <w:proofErr w:type="spellEnd"/>
            <w:proofErr w:type="gramEnd"/>
            <w:r>
              <w:t xml:space="preserve"> and </w:t>
            </w:r>
            <w:r>
              <w:t xml:space="preserve">science scores – we found no studies reporting changes in emotional development, </w:t>
            </w:r>
            <w:proofErr w:type="spellStart"/>
            <w:r>
              <w:t>behaviour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etc.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studies</w:t>
            </w:r>
            <w:r>
              <w:rPr>
                <w:spacing w:val="-3"/>
              </w:rPr>
              <w:t xml:space="preserve"> </w:t>
            </w:r>
            <w:r>
              <w:t>defined children</w:t>
            </w:r>
            <w:r>
              <w:rPr>
                <w:spacing w:val="-5"/>
              </w:rPr>
              <w:t xml:space="preserve"> </w:t>
            </w:r>
            <w:r>
              <w:t>according</w:t>
            </w:r>
            <w:r>
              <w:rPr>
                <w:spacing w:val="-5"/>
              </w:rPr>
              <w:t xml:space="preserve"> </w:t>
            </w:r>
            <w:r>
              <w:t>to socio-economic</w:t>
            </w:r>
            <w:r>
              <w:rPr>
                <w:spacing w:val="-3"/>
              </w:rPr>
              <w:t xml:space="preserve"> </w:t>
            </w:r>
            <w:r>
              <w:t>status,</w:t>
            </w:r>
            <w:r>
              <w:rPr>
                <w:spacing w:val="-4"/>
              </w:rPr>
              <w:t xml:space="preserve"> </w:t>
            </w:r>
            <w:r>
              <w:t>but some used other measures such as ethnicity or disability.</w:t>
            </w:r>
          </w:p>
          <w:p w14:paraId="7FB7585B" w14:textId="77777777" w:rsidR="0088787E" w:rsidRDefault="0088787E">
            <w:pPr>
              <w:pStyle w:val="TableParagraph"/>
              <w:ind w:left="0"/>
              <w:rPr>
                <w:b/>
              </w:rPr>
            </w:pPr>
          </w:p>
          <w:p w14:paraId="7FB7585C" w14:textId="77777777" w:rsidR="0088787E" w:rsidRDefault="001C6BBE">
            <w:pPr>
              <w:pStyle w:val="TableParagraph"/>
              <w:ind w:left="470" w:right="195"/>
            </w:pPr>
            <w:r>
              <w:t>Most of the included studies either find no change in inequalities before and after school summer holidays or report inconsistent findings (</w:t>
            </w:r>
            <w:proofErr w:type="gramStart"/>
            <w:r>
              <w:t>e.g.</w:t>
            </w:r>
            <w:proofErr w:type="gramEnd"/>
            <w:r>
              <w:t xml:space="preserve"> changes that do not consistently </w:t>
            </w:r>
            <w:proofErr w:type="spellStart"/>
            <w:r>
              <w:t>favour</w:t>
            </w:r>
            <w:proofErr w:type="spellEnd"/>
            <w:r>
              <w:t xml:space="preserve"> either m</w:t>
            </w:r>
            <w:r>
              <w:t>ore or less disadvantaged children). Some studies that report differential changes also report</w:t>
            </w:r>
            <w:r>
              <w:rPr>
                <w:spacing w:val="-1"/>
              </w:rPr>
              <w:t xml:space="preserve"> </w:t>
            </w:r>
            <w:r>
              <w:t>caveats suggesting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 findings may suffer from</w:t>
            </w:r>
            <w:r>
              <w:rPr>
                <w:spacing w:val="-3"/>
              </w:rPr>
              <w:t xml:space="preserve"> </w:t>
            </w:r>
            <w:r>
              <w:t>methodological weaknesses.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none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outcomes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defining</w:t>
            </w:r>
            <w:r>
              <w:rPr>
                <w:spacing w:val="-5"/>
              </w:rPr>
              <w:t xml:space="preserve"> </w:t>
            </w:r>
            <w:r>
              <w:t>advantage or</w:t>
            </w:r>
            <w:r>
              <w:rPr>
                <w:spacing w:val="-6"/>
              </w:rPr>
              <w:t xml:space="preserve"> </w:t>
            </w:r>
            <w:r>
              <w:t>disadvantage is there a</w:t>
            </w:r>
            <w:r>
              <w:t xml:space="preserve"> consistent picture of widening inequalities over the school summer holidays.</w:t>
            </w:r>
          </w:p>
          <w:p w14:paraId="7FB7585D" w14:textId="77777777" w:rsidR="0088787E" w:rsidRDefault="0088787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FB7585E" w14:textId="77777777" w:rsidR="0088787E" w:rsidRDefault="001C6BB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8" w:hanging="358"/>
            </w:pPr>
            <w:r>
              <w:t>Millennium</w:t>
            </w:r>
            <w:r>
              <w:rPr>
                <w:spacing w:val="-6"/>
              </w:rPr>
              <w:t xml:space="preserve"> </w:t>
            </w:r>
            <w:r>
              <w:t>Cohort</w:t>
            </w:r>
            <w:r>
              <w:rPr>
                <w:spacing w:val="-7"/>
              </w:rPr>
              <w:t xml:space="preserve"> </w:t>
            </w:r>
            <w:r>
              <w:t>Study: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findings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summarised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table.</w:t>
            </w:r>
          </w:p>
          <w:p w14:paraId="7FB7585F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0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1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2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3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4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5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6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7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8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9" w14:textId="77777777" w:rsidR="0088787E" w:rsidRDefault="0088787E">
            <w:pPr>
              <w:pStyle w:val="TableParagraph"/>
              <w:ind w:left="0"/>
              <w:rPr>
                <w:b/>
                <w:sz w:val="24"/>
              </w:rPr>
            </w:pPr>
          </w:p>
          <w:p w14:paraId="7FB7586A" w14:textId="77777777" w:rsidR="0088787E" w:rsidRDefault="001C6BBE">
            <w:pPr>
              <w:pStyle w:val="TableParagraph"/>
              <w:spacing w:before="188"/>
              <w:ind w:left="395" w:right="117"/>
            </w:pPr>
            <w:r>
              <w:t>Changes in reading scores over the school holidays vary according to the</w:t>
            </w:r>
            <w:r>
              <w:rPr>
                <w:spacing w:val="24"/>
              </w:rPr>
              <w:t xml:space="preserve"> </w:t>
            </w:r>
            <w:r>
              <w:t>age of the child but</w:t>
            </w:r>
            <w:r>
              <w:rPr>
                <w:spacing w:val="-4"/>
              </w:rPr>
              <w:t xml:space="preserve"> </w:t>
            </w:r>
            <w:r>
              <w:t>we find</w:t>
            </w:r>
            <w:r>
              <w:rPr>
                <w:spacing w:val="-5"/>
              </w:rPr>
              <w:t xml:space="preserve"> </w:t>
            </w:r>
            <w:r>
              <w:t>no evidence of</w:t>
            </w:r>
            <w:r>
              <w:rPr>
                <w:spacing w:val="-4"/>
              </w:rPr>
              <w:t xml:space="preserve"> </w:t>
            </w:r>
            <w:r>
              <w:t>widening</w:t>
            </w:r>
            <w:r>
              <w:rPr>
                <w:spacing w:val="-5"/>
              </w:rPr>
              <w:t xml:space="preserve"> </w:t>
            </w:r>
            <w:r>
              <w:t>inequalities</w:t>
            </w:r>
            <w:r>
              <w:rPr>
                <w:spacing w:val="-8"/>
              </w:rPr>
              <w:t xml:space="preserve"> </w:t>
            </w:r>
            <w:r>
              <w:t>according</w:t>
            </w:r>
            <w:r>
              <w:rPr>
                <w:spacing w:val="-5"/>
              </w:rPr>
              <w:t xml:space="preserve"> </w:t>
            </w:r>
            <w:r>
              <w:t>to mother’s</w:t>
            </w:r>
            <w:r>
              <w:rPr>
                <w:spacing w:val="-3"/>
              </w:rPr>
              <w:t xml:space="preserve"> </w:t>
            </w:r>
            <w:r>
              <w:t>education level.</w:t>
            </w:r>
            <w:r>
              <w:rPr>
                <w:spacing w:val="-4"/>
              </w:rPr>
              <w:t xml:space="preserve"> </w:t>
            </w:r>
            <w:r>
              <w:t>SDQ scores</w:t>
            </w:r>
            <w:r>
              <w:rPr>
                <w:spacing w:val="-4"/>
              </w:rPr>
              <w:t xml:space="preserve"> </w:t>
            </w:r>
            <w:r>
              <w:t>worsen</w:t>
            </w:r>
            <w:r>
              <w:rPr>
                <w:spacing w:val="-6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holidays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aged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14,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4"/>
              </w:rPr>
              <w:t>aged</w:t>
            </w:r>
            <w:proofErr w:type="gramEnd"/>
          </w:p>
          <w:p w14:paraId="7FB7586B" w14:textId="77777777" w:rsidR="0088787E" w:rsidRDefault="001C6BBE">
            <w:pPr>
              <w:pStyle w:val="TableParagraph"/>
              <w:spacing w:before="1"/>
              <w:ind w:left="395"/>
            </w:pPr>
            <w:r>
              <w:t>11. For children aged 14, the deterioration is greater for children whose mothers have less education – the only case where we find evidence of</w:t>
            </w:r>
            <w:r>
              <w:rPr>
                <w:spacing w:val="-1"/>
              </w:rPr>
              <w:t xml:space="preserve"> </w:t>
            </w:r>
            <w:r>
              <w:t>a widening gap in outcomes for more and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disadvantaged</w:t>
            </w:r>
            <w:r>
              <w:rPr>
                <w:spacing w:val="-2"/>
              </w:rPr>
              <w:t xml:space="preserve"> </w:t>
            </w:r>
            <w:r>
              <w:t>children.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differenc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proofErr w:type="gramStart"/>
            <w:r>
              <w:t>more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less disadvantaged</w:t>
            </w:r>
            <w:proofErr w:type="gramEnd"/>
            <w:r>
              <w:t xml:space="preserve"> backgrounds are much larger than the changes over the holidays, or any widening of the gap over the holidays. We repeated the analyses using income,</w:t>
            </w:r>
            <w:r>
              <w:rPr>
                <w:spacing w:val="-4"/>
              </w:rPr>
              <w:t xml:space="preserve"> </w:t>
            </w:r>
            <w:r>
              <w:t>divided into</w:t>
            </w:r>
          </w:p>
          <w:p w14:paraId="7FB7586C" w14:textId="77777777" w:rsidR="0088787E" w:rsidRDefault="001C6BBE">
            <w:pPr>
              <w:pStyle w:val="TableParagraph"/>
              <w:spacing w:line="231" w:lineRule="exact"/>
              <w:ind w:left="395"/>
            </w:pPr>
            <w:r>
              <w:t>fifths,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index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neighbourhood</w:t>
            </w:r>
            <w:proofErr w:type="spellEnd"/>
            <w:r>
              <w:t xml:space="preserve"> deprivation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classify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less</w:t>
            </w:r>
          </w:p>
        </w:tc>
      </w:tr>
    </w:tbl>
    <w:p w14:paraId="7FB7586E" w14:textId="77777777" w:rsidR="0088787E" w:rsidRDefault="0088787E">
      <w:pPr>
        <w:spacing w:line="231" w:lineRule="exact"/>
        <w:sectPr w:rsidR="0088787E">
          <w:pgSz w:w="11910" w:h="16840"/>
          <w:pgMar w:top="1280" w:right="1080" w:bottom="1740" w:left="1080" w:header="0" w:footer="1556" w:gutter="0"/>
          <w:cols w:space="720"/>
        </w:sectPr>
      </w:pPr>
    </w:p>
    <w:p w14:paraId="7FB7586F" w14:textId="77777777" w:rsidR="0088787E" w:rsidRDefault="0088787E">
      <w:pPr>
        <w:spacing w:before="2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</w:tblGrid>
      <w:tr w:rsidR="0088787E" w14:paraId="7FB75874" w14:textId="77777777">
        <w:trPr>
          <w:trHeight w:val="4046"/>
        </w:trPr>
        <w:tc>
          <w:tcPr>
            <w:tcW w:w="9519" w:type="dxa"/>
          </w:tcPr>
          <w:p w14:paraId="7FB75870" w14:textId="77777777" w:rsidR="0088787E" w:rsidRDefault="001C6BBE">
            <w:pPr>
              <w:pStyle w:val="TableParagraph"/>
              <w:spacing w:line="242" w:lineRule="auto"/>
              <w:ind w:left="395"/>
            </w:pPr>
            <w:r>
              <w:t>advantaged, with similar results. We also varied the definition of pre and post summer holidays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non-holiday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just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holidays,</w:t>
            </w:r>
            <w:r>
              <w:rPr>
                <w:spacing w:val="-5"/>
              </w:rPr>
              <w:t xml:space="preserve"> </w:t>
            </w:r>
            <w:r>
              <w:t>again with similar results.</w:t>
            </w:r>
          </w:p>
          <w:p w14:paraId="7FB75871" w14:textId="77777777" w:rsidR="0088787E" w:rsidRDefault="008878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FB75872" w14:textId="77777777" w:rsidR="0088787E" w:rsidRDefault="001C6BB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Interpretation</w:t>
            </w:r>
          </w:p>
          <w:p w14:paraId="7FB75873" w14:textId="77777777" w:rsidR="0088787E" w:rsidRDefault="001C6BBE">
            <w:pPr>
              <w:pStyle w:val="TableParagraph"/>
              <w:ind w:right="117"/>
            </w:pPr>
            <w:r>
              <w:t xml:space="preserve">These are preliminary findings, but we do not expect the picture to change once we have completed </w:t>
            </w:r>
            <w:proofErr w:type="gramStart"/>
            <w:r>
              <w:t>all of</w:t>
            </w:r>
            <w:proofErr w:type="gramEnd"/>
            <w:r>
              <w:t xml:space="preserve"> our analyses. The results of our analyses of UK children are consistent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the mixed picture emerging from the international literature. They suggest</w:t>
            </w:r>
            <w:r>
              <w:t xml:space="preserve"> that in normal circumstances, school closures do not lead to significant additional educational </w:t>
            </w:r>
            <w:proofErr w:type="gramStart"/>
            <w:r>
              <w:t>disadvantage</w:t>
            </w:r>
            <w:proofErr w:type="gramEnd"/>
            <w:r>
              <w:t>. The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closures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COVID19</w:t>
            </w:r>
            <w:r>
              <w:rPr>
                <w:spacing w:val="-6"/>
              </w:rPr>
              <w:t xml:space="preserve"> </w:t>
            </w:r>
            <w:r>
              <w:t>pandemic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larger</w:t>
            </w:r>
            <w:r>
              <w:rPr>
                <w:spacing w:val="-2"/>
              </w:rPr>
              <w:t xml:space="preserve"> </w:t>
            </w:r>
            <w:r>
              <w:t>effect,</w:t>
            </w:r>
            <w:r>
              <w:rPr>
                <w:spacing w:val="-5"/>
              </w:rPr>
              <w:t xml:space="preserve"> </w:t>
            </w:r>
            <w:r>
              <w:t>because</w:t>
            </w:r>
            <w:r>
              <w:rPr>
                <w:spacing w:val="-1"/>
              </w:rPr>
              <w:t xml:space="preserve"> </w:t>
            </w:r>
            <w:r>
              <w:t>they last longer, because inequalities in support for learning have been more pronounced during the pandemic-related closures than they are during summer holidays in general, or because disadvantaged children tend to live in households more severely affect</w:t>
            </w:r>
            <w:r>
              <w:t>ed by the social and economic disruption of the</w:t>
            </w:r>
            <w:r>
              <w:rPr>
                <w:spacing w:val="-1"/>
              </w:rPr>
              <w:t xml:space="preserve"> </w:t>
            </w:r>
            <w:r>
              <w:t>pandemic. This should be an important focus</w:t>
            </w:r>
            <w:r>
              <w:rPr>
                <w:spacing w:val="-4"/>
              </w:rPr>
              <w:t xml:space="preserve"> </w:t>
            </w:r>
            <w:r>
              <w:t>of future research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monitoring.</w:t>
            </w:r>
          </w:p>
        </w:tc>
      </w:tr>
      <w:tr w:rsidR="0088787E" w14:paraId="7FB75876" w14:textId="77777777">
        <w:trPr>
          <w:trHeight w:val="385"/>
        </w:trPr>
        <w:tc>
          <w:tcPr>
            <w:tcW w:w="9519" w:type="dxa"/>
          </w:tcPr>
          <w:p w14:paraId="7FB75875" w14:textId="77777777" w:rsidR="0088787E" w:rsidRDefault="001C6BBE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submitted?</w:t>
            </w:r>
          </w:p>
        </w:tc>
      </w:tr>
      <w:tr w:rsidR="0088787E" w14:paraId="7FB75878" w14:textId="77777777">
        <w:trPr>
          <w:trHeight w:val="385"/>
        </w:trPr>
        <w:tc>
          <w:tcPr>
            <w:tcW w:w="9519" w:type="dxa"/>
          </w:tcPr>
          <w:p w14:paraId="7FB75877" w14:textId="77777777" w:rsidR="0088787E" w:rsidRDefault="001C6BBE">
            <w:pPr>
              <w:pStyle w:val="TableParagraph"/>
              <w:spacing w:before="69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4"/>
              </w:rPr>
              <w:t xml:space="preserve"> 2020</w:t>
            </w:r>
          </w:p>
        </w:tc>
      </w:tr>
      <w:tr w:rsidR="0088787E" w14:paraId="7FB7587A" w14:textId="77777777">
        <w:trPr>
          <w:trHeight w:val="385"/>
        </w:trPr>
        <w:tc>
          <w:tcPr>
            <w:tcW w:w="9519" w:type="dxa"/>
          </w:tcPr>
          <w:p w14:paraId="7FB75879" w14:textId="77777777" w:rsidR="0088787E" w:rsidRDefault="001C6BBE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</w:tr>
      <w:tr w:rsidR="0088787E" w14:paraId="7FB7587C" w14:textId="77777777">
        <w:trPr>
          <w:trHeight w:val="505"/>
        </w:trPr>
        <w:tc>
          <w:tcPr>
            <w:tcW w:w="9519" w:type="dxa"/>
          </w:tcPr>
          <w:p w14:paraId="7FB7587B" w14:textId="77777777" w:rsidR="0088787E" w:rsidRDefault="001C6BBE">
            <w:pPr>
              <w:pStyle w:val="TableParagraph"/>
              <w:spacing w:line="256" w:lineRule="exact"/>
            </w:pPr>
            <w:r>
              <w:rPr>
                <w:spacing w:val="-2"/>
              </w:rPr>
              <w:t>https://</w:t>
            </w:r>
            <w:hyperlink r:id="rId9">
              <w:r>
                <w:rPr>
                  <w:spacing w:val="-2"/>
                </w:rPr>
                <w:t>www.gla.ac.uk/researchinstitutes/healthwellbeing/research/mrccsosocialandpublichealth</w:t>
              </w:r>
            </w:hyperlink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sciencesunit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aboutus</w:t>
            </w:r>
            <w:proofErr w:type="spellEnd"/>
            <w:r>
              <w:rPr>
                <w:spacing w:val="-2"/>
              </w:rPr>
              <w:t>/covid</w:t>
            </w:r>
            <w:r>
              <w:rPr>
                <w:spacing w:val="-2"/>
              </w:rPr>
              <w:t>19/</w:t>
            </w:r>
          </w:p>
        </w:tc>
      </w:tr>
      <w:tr w:rsidR="0088787E" w14:paraId="7FB7587E" w14:textId="77777777">
        <w:trPr>
          <w:trHeight w:val="378"/>
        </w:trPr>
        <w:tc>
          <w:tcPr>
            <w:tcW w:w="9519" w:type="dxa"/>
          </w:tcPr>
          <w:p w14:paraId="7FB7587D" w14:textId="77777777" w:rsidR="0088787E" w:rsidRDefault="001C6BBE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response</w:t>
            </w:r>
          </w:p>
        </w:tc>
      </w:tr>
      <w:tr w:rsidR="0088787E" w14:paraId="7FB75882" w14:textId="77777777">
        <w:trPr>
          <w:trHeight w:val="1010"/>
        </w:trPr>
        <w:tc>
          <w:tcPr>
            <w:tcW w:w="9519" w:type="dxa"/>
          </w:tcPr>
          <w:p w14:paraId="7FB7587F" w14:textId="77777777" w:rsidR="0088787E" w:rsidRDefault="001C6BBE">
            <w:pPr>
              <w:pStyle w:val="TableParagraph"/>
              <w:spacing w:line="252" w:lineRule="exact"/>
            </w:pPr>
            <w:r>
              <w:t xml:space="preserve">Peter </w:t>
            </w:r>
            <w:r>
              <w:rPr>
                <w:spacing w:val="-2"/>
              </w:rPr>
              <w:t>Craig</w:t>
            </w:r>
          </w:p>
          <w:p w14:paraId="7FB75880" w14:textId="77777777" w:rsidR="0088787E" w:rsidRDefault="001C6BBE">
            <w:pPr>
              <w:pStyle w:val="TableParagraph"/>
              <w:spacing w:before="2" w:line="242" w:lineRule="auto"/>
              <w:ind w:right="1592"/>
            </w:pP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Leader,</w:t>
            </w:r>
            <w:r>
              <w:rPr>
                <w:spacing w:val="-8"/>
              </w:rPr>
              <w:t xml:space="preserve"> </w:t>
            </w:r>
            <w:r>
              <w:t>MRC/CSO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Sciences</w:t>
            </w:r>
            <w:r>
              <w:rPr>
                <w:spacing w:val="-7"/>
              </w:rPr>
              <w:t xml:space="preserve"> </w:t>
            </w:r>
            <w:r>
              <w:t>Unit University of Glasgow</w:t>
            </w:r>
          </w:p>
          <w:p w14:paraId="7FB75881" w14:textId="77777777" w:rsidR="0088787E" w:rsidRDefault="001C6BBE">
            <w:pPr>
              <w:pStyle w:val="TableParagraph"/>
              <w:spacing w:line="225" w:lineRule="exact"/>
            </w:pPr>
            <w:hyperlink r:id="rId10">
              <w:r>
                <w:rPr>
                  <w:spacing w:val="-2"/>
                </w:rPr>
                <w:t>peter.craig@glasgow.ac.uk</w:t>
              </w:r>
            </w:hyperlink>
          </w:p>
        </w:tc>
      </w:tr>
    </w:tbl>
    <w:p w14:paraId="7FB75883" w14:textId="77777777" w:rsidR="0088787E" w:rsidRDefault="0088787E">
      <w:pPr>
        <w:rPr>
          <w:b/>
          <w:sz w:val="20"/>
        </w:rPr>
      </w:pPr>
    </w:p>
    <w:p w14:paraId="7FB75884" w14:textId="3A8D80A3" w:rsidR="0088787E" w:rsidRDefault="0088787E">
      <w:pPr>
        <w:spacing w:before="2"/>
        <w:rPr>
          <w:b/>
          <w:sz w:val="13"/>
        </w:rPr>
      </w:pPr>
    </w:p>
    <w:p w14:paraId="7FB75885" w14:textId="77777777" w:rsidR="0088787E" w:rsidRDefault="001C6BBE">
      <w:pPr>
        <w:spacing w:before="99"/>
        <w:ind w:left="110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References</w:t>
      </w:r>
    </w:p>
    <w:p w14:paraId="7FB75886" w14:textId="77777777" w:rsidR="0088787E" w:rsidRDefault="001C6BBE">
      <w:pPr>
        <w:pStyle w:val="BodyText"/>
        <w:spacing w:before="22"/>
      </w:pP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Education. </w:t>
      </w:r>
      <w:hyperlink r:id="rId11">
        <w:r>
          <w:rPr>
            <w:color w:val="0000FF"/>
            <w:u w:val="single" w:color="0000FF"/>
          </w:rPr>
          <w:t>https://en.unesco.org/covid19/educationresponse</w:t>
        </w:r>
      </w:hyperlink>
      <w:r>
        <w:rPr>
          <w:color w:val="0000FF"/>
          <w:spacing w:val="-1"/>
        </w:rPr>
        <w:t xml:space="preserve"> </w:t>
      </w:r>
      <w:r>
        <w:t>(last</w:t>
      </w:r>
      <w:r>
        <w:rPr>
          <w:spacing w:val="-5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rPr>
          <w:spacing w:val="-2"/>
        </w:rPr>
        <w:t>2020).</w:t>
      </w:r>
    </w:p>
    <w:p w14:paraId="7FB75887" w14:textId="77777777" w:rsidR="0088787E" w:rsidRDefault="001C6BBE">
      <w:pPr>
        <w:pStyle w:val="BodyText"/>
        <w:spacing w:before="6"/>
        <w:ind w:right="193"/>
      </w:pPr>
      <w:r>
        <w:rPr>
          <w:position w:val="6"/>
          <w:sz w:val="13"/>
        </w:rPr>
        <w:t>2</w:t>
      </w:r>
      <w:r>
        <w:rPr>
          <w:spacing w:val="12"/>
          <w:position w:val="6"/>
          <w:sz w:val="13"/>
        </w:rPr>
        <w:t xml:space="preserve"> </w:t>
      </w:r>
      <w:r>
        <w:t>Cullinane,</w:t>
      </w:r>
      <w:r>
        <w:rPr>
          <w:spacing w:val="-3"/>
        </w:rPr>
        <w:t xml:space="preserve"> </w:t>
      </w:r>
      <w:r>
        <w:t>C and</w:t>
      </w:r>
      <w:r>
        <w:rPr>
          <w:spacing w:val="-3"/>
        </w:rPr>
        <w:t xml:space="preserve"> </w:t>
      </w:r>
      <w:proofErr w:type="spellStart"/>
      <w:r>
        <w:t>Montacute</w:t>
      </w:r>
      <w:proofErr w:type="spellEnd"/>
      <w:r>
        <w:t>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#1:</w:t>
      </w:r>
      <w:r>
        <w:rPr>
          <w:spacing w:val="-1"/>
        </w:rPr>
        <w:t xml:space="preserve"> </w:t>
      </w:r>
      <w:r>
        <w:t>School Shutdown.</w:t>
      </w:r>
      <w:r>
        <w:rPr>
          <w:spacing w:val="-3"/>
        </w:rPr>
        <w:t xml:space="preserve"> </w:t>
      </w:r>
      <w:r>
        <w:t>Sutton</w:t>
      </w:r>
      <w:r>
        <w:rPr>
          <w:spacing w:val="-3"/>
        </w:rPr>
        <w:t xml:space="preserve"> </w:t>
      </w:r>
      <w:r>
        <w:t>Trust Research Brief, April 2020.</w:t>
      </w:r>
    </w:p>
    <w:p w14:paraId="7FB75888" w14:textId="77777777" w:rsidR="0088787E" w:rsidRDefault="001C6BBE">
      <w:pPr>
        <w:pStyle w:val="BodyText"/>
        <w:spacing w:line="241" w:lineRule="exact"/>
      </w:pPr>
      <w:r>
        <w:rPr>
          <w:position w:val="6"/>
          <w:sz w:val="13"/>
        </w:rPr>
        <w:t>3</w:t>
      </w:r>
      <w:r>
        <w:rPr>
          <w:spacing w:val="10"/>
          <w:position w:val="6"/>
          <w:sz w:val="13"/>
        </w:rPr>
        <w:t xml:space="preserve"> </w:t>
      </w:r>
      <w:r>
        <w:t>Andrew,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lockdown:</w:t>
      </w:r>
      <w:r>
        <w:rPr>
          <w:spacing w:val="-1"/>
        </w:rPr>
        <w:t xml:space="preserve"> </w:t>
      </w:r>
      <w:r>
        <w:t>real-time</w:t>
      </w:r>
      <w:r>
        <w:rPr>
          <w:spacing w:val="-2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children’s experiences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home</w:t>
      </w:r>
      <w:proofErr w:type="gramEnd"/>
    </w:p>
    <w:p w14:paraId="7FB75889" w14:textId="77777777" w:rsidR="0088787E" w:rsidRDefault="001C6BBE">
      <w:pPr>
        <w:pStyle w:val="BodyText"/>
      </w:pPr>
      <w:r>
        <w:t>Learning.</w:t>
      </w:r>
      <w:r>
        <w:rPr>
          <w:spacing w:val="-3"/>
        </w:rPr>
        <w:t xml:space="preserve"> </w:t>
      </w:r>
      <w:r>
        <w:t>IFS</w:t>
      </w:r>
      <w:r>
        <w:rPr>
          <w:spacing w:val="-4"/>
        </w:rPr>
        <w:t xml:space="preserve"> </w:t>
      </w:r>
      <w:r>
        <w:t>Briefing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BN288,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rPr>
          <w:spacing w:val="-4"/>
        </w:rPr>
        <w:t>IFS.</w:t>
      </w:r>
    </w:p>
    <w:p w14:paraId="7FB7588A" w14:textId="77777777" w:rsidR="0088787E" w:rsidRDefault="001C6BBE">
      <w:pPr>
        <w:pStyle w:val="BodyText"/>
        <w:spacing w:before="1"/>
        <w:ind w:right="193"/>
      </w:pPr>
      <w:r>
        <w:rPr>
          <w:position w:val="6"/>
          <w:sz w:val="13"/>
        </w:rPr>
        <w:t>4</w:t>
      </w:r>
      <w:r>
        <w:rPr>
          <w:spacing w:val="12"/>
          <w:position w:val="6"/>
          <w:sz w:val="13"/>
        </w:rPr>
        <w:t xml:space="preserve"> </w:t>
      </w:r>
      <w:r>
        <w:t>Green,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Schoolwork</w:t>
      </w:r>
      <w:r>
        <w:rPr>
          <w:spacing w:val="-4"/>
        </w:rPr>
        <w:t xml:space="preserve"> </w:t>
      </w:r>
      <w:r>
        <w:t>in lockdown: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epidemic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educational poverty.</w:t>
      </w:r>
      <w:r>
        <w:rPr>
          <w:spacing w:val="-2"/>
        </w:rPr>
        <w:t xml:space="preserve"> </w:t>
      </w:r>
      <w:r>
        <w:t>LLAKES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Paper 67, 2020. London, Centr</w:t>
      </w:r>
      <w:r>
        <w:t>e for Learning and Life Chances in Knowledge Economies and Societies.</w:t>
      </w:r>
    </w:p>
    <w:p w14:paraId="7FB7588B" w14:textId="77777777" w:rsidR="0088787E" w:rsidRDefault="001C6BBE">
      <w:pPr>
        <w:pStyle w:val="BodyText"/>
        <w:spacing w:before="2"/>
      </w:pPr>
      <w:r>
        <w:rPr>
          <w:position w:val="6"/>
          <w:sz w:val="13"/>
        </w:rPr>
        <w:t>5</w:t>
      </w:r>
      <w:r>
        <w:rPr>
          <w:spacing w:val="12"/>
          <w:position w:val="6"/>
          <w:sz w:val="13"/>
        </w:rPr>
        <w:t xml:space="preserve"> </w:t>
      </w:r>
      <w:r>
        <w:t>Blundell,</w:t>
      </w:r>
      <w:r>
        <w:rPr>
          <w:spacing w:val="-1"/>
        </w:rPr>
        <w:t xml:space="preserve"> </w:t>
      </w:r>
      <w:r>
        <w:t>R et</w:t>
      </w:r>
      <w:r>
        <w:rPr>
          <w:spacing w:val="-3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Inequalities.</w:t>
      </w:r>
      <w:r>
        <w:rPr>
          <w:spacing w:val="-2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IFS,</w:t>
      </w:r>
      <w:r>
        <w:rPr>
          <w:spacing w:val="-1"/>
        </w:rPr>
        <w:t xml:space="preserve"> </w:t>
      </w:r>
      <w:r>
        <w:rPr>
          <w:spacing w:val="-4"/>
        </w:rPr>
        <w:t>2020</w:t>
      </w:r>
    </w:p>
    <w:p w14:paraId="7FB7588C" w14:textId="77777777" w:rsidR="0088787E" w:rsidRDefault="001C6BBE">
      <w:pPr>
        <w:pStyle w:val="BodyText"/>
        <w:spacing w:before="5" w:line="235" w:lineRule="auto"/>
        <w:ind w:right="193"/>
      </w:pPr>
      <w:r>
        <w:rPr>
          <w:position w:val="6"/>
          <w:sz w:val="13"/>
        </w:rPr>
        <w:t>6</w:t>
      </w:r>
      <w:r>
        <w:rPr>
          <w:spacing w:val="12"/>
          <w:position w:val="6"/>
          <w:sz w:val="13"/>
        </w:rPr>
        <w:t xml:space="preserve"> </w:t>
      </w:r>
      <w:r>
        <w:t>Viner,</w:t>
      </w:r>
      <w:r>
        <w:rPr>
          <w:spacing w:val="-3"/>
        </w:rPr>
        <w:t xml:space="preserve"> </w:t>
      </w:r>
      <w:r>
        <w:t>RM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closure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outbreaks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COVID-19:</w:t>
      </w:r>
      <w:r>
        <w:rPr>
          <w:spacing w:val="-1"/>
        </w:rPr>
        <w:t xml:space="preserve"> </w:t>
      </w:r>
      <w:r>
        <w:t xml:space="preserve">a rapid systematic review. Lancet Child </w:t>
      </w:r>
      <w:proofErr w:type="spellStart"/>
      <w:r>
        <w:t>Adolesc</w:t>
      </w:r>
      <w:proofErr w:type="spellEnd"/>
      <w:r>
        <w:t xml:space="preserve"> Health 2020; 4: 397–404.</w:t>
      </w:r>
    </w:p>
    <w:p w14:paraId="7FB7588D" w14:textId="77777777" w:rsidR="0088787E" w:rsidRDefault="001C6BBE">
      <w:pPr>
        <w:pStyle w:val="BodyText"/>
        <w:spacing w:before="3"/>
        <w:ind w:right="289"/>
      </w:pPr>
      <w:r>
        <w:rPr>
          <w:position w:val="6"/>
          <w:sz w:val="13"/>
        </w:rPr>
        <w:t>7</w:t>
      </w:r>
      <w:r>
        <w:rPr>
          <w:spacing w:val="11"/>
          <w:position w:val="6"/>
          <w:sz w:val="13"/>
        </w:rPr>
        <w:t xml:space="preserve"> </w:t>
      </w:r>
      <w:r>
        <w:t>Flaxman, S.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</w:t>
      </w:r>
      <w:r>
        <w:rPr>
          <w:spacing w:val="-4"/>
        </w:rPr>
        <w:t xml:space="preserve"> </w:t>
      </w:r>
      <w:r>
        <w:t>Estimating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non-pharmaceutical</w:t>
      </w:r>
      <w:r>
        <w:rPr>
          <w:spacing w:val="-4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onCOVID-19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Europe.</w:t>
      </w:r>
      <w:r>
        <w:rPr>
          <w:spacing w:val="-4"/>
        </w:rPr>
        <w:t xml:space="preserve"> </w:t>
      </w:r>
      <w:r>
        <w:t xml:space="preserve">Nature 2020, </w:t>
      </w:r>
      <w:hyperlink r:id="rId12">
        <w:r>
          <w:rPr>
            <w:color w:val="0000FF"/>
            <w:spacing w:val="-2"/>
            <w:u w:val="single" w:color="0000FF"/>
          </w:rPr>
          <w:t>https://d</w:t>
        </w:r>
        <w:r>
          <w:rPr>
            <w:color w:val="0000FF"/>
            <w:spacing w:val="-2"/>
            <w:u w:val="single" w:color="0000FF"/>
          </w:rPr>
          <w:t>oi.org/10.1038/s41586-020-2405-7</w:t>
        </w:r>
        <w:r>
          <w:rPr>
            <w:spacing w:val="-2"/>
          </w:rPr>
          <w:t>.</w:t>
        </w:r>
      </w:hyperlink>
    </w:p>
    <w:p w14:paraId="7FB7588E" w14:textId="77777777" w:rsidR="0088787E" w:rsidRDefault="001C6BBE">
      <w:pPr>
        <w:pStyle w:val="BodyText"/>
        <w:spacing w:before="1"/>
      </w:pPr>
      <w:r>
        <w:rPr>
          <w:position w:val="6"/>
          <w:sz w:val="13"/>
        </w:rPr>
        <w:t>8</w:t>
      </w:r>
      <w:r>
        <w:rPr>
          <w:spacing w:val="12"/>
          <w:position w:val="6"/>
          <w:sz w:val="13"/>
        </w:rPr>
        <w:t xml:space="preserve"> </w:t>
      </w:r>
      <w:r>
        <w:t>Davies,</w:t>
      </w:r>
      <w:r>
        <w:rPr>
          <w:spacing w:val="-3"/>
        </w:rPr>
        <w:t xml:space="preserve"> </w:t>
      </w:r>
      <w:r>
        <w:t>NG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non-pharmaceutical</w:t>
      </w:r>
      <w:r>
        <w:rPr>
          <w:spacing w:val="-4"/>
        </w:rPr>
        <w:t xml:space="preserve"> </w:t>
      </w:r>
      <w:r>
        <w:t>interventions on</w:t>
      </w:r>
      <w:r>
        <w:rPr>
          <w:spacing w:val="-3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deaths,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hospital services in the UK: a modelling study. The Lancet Public Health, Volume 5, Issue 7, e375 - e385.</w:t>
      </w:r>
    </w:p>
    <w:p w14:paraId="7FB7588F" w14:textId="77777777" w:rsidR="0088787E" w:rsidRDefault="001C6BBE">
      <w:pPr>
        <w:pStyle w:val="BodyText"/>
        <w:spacing w:before="3" w:line="242" w:lineRule="exact"/>
      </w:pPr>
      <w:r>
        <w:rPr>
          <w:position w:val="6"/>
          <w:sz w:val="13"/>
        </w:rPr>
        <w:t>9</w:t>
      </w:r>
      <w:r>
        <w:rPr>
          <w:spacing w:val="10"/>
          <w:position w:val="6"/>
          <w:sz w:val="13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Hippel,</w:t>
      </w:r>
      <w:r>
        <w:rPr>
          <w:spacing w:val="-3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real? Education</w:t>
      </w:r>
      <w:r>
        <w:rPr>
          <w:spacing w:val="-3"/>
        </w:rPr>
        <w:t xml:space="preserve"> </w:t>
      </w:r>
      <w:r>
        <w:t>Next,</w:t>
      </w:r>
      <w:r>
        <w:rPr>
          <w:spacing w:val="-2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2019;</w:t>
      </w:r>
      <w:r>
        <w:rPr>
          <w:spacing w:val="-1"/>
        </w:rPr>
        <w:t xml:space="preserve"> </w:t>
      </w:r>
      <w:r>
        <w:rPr>
          <w:spacing w:val="-2"/>
        </w:rPr>
        <w:t>19(4).</w:t>
      </w:r>
    </w:p>
    <w:p w14:paraId="7FB75890" w14:textId="77777777" w:rsidR="0088787E" w:rsidRDefault="001C6BBE">
      <w:pPr>
        <w:pStyle w:val="BodyText"/>
      </w:pPr>
      <w:r>
        <w:rPr>
          <w:position w:val="6"/>
          <w:sz w:val="13"/>
        </w:rPr>
        <w:t>10</w:t>
      </w:r>
      <w:r>
        <w:rPr>
          <w:spacing w:val="12"/>
          <w:position w:val="6"/>
          <w:sz w:val="1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Hippel,</w:t>
      </w:r>
      <w:r>
        <w:rPr>
          <w:spacing w:val="-2"/>
        </w:rPr>
        <w:t xml:space="preserve"> </w:t>
      </w:r>
      <w:r>
        <w:t>PT and</w:t>
      </w:r>
      <w:r>
        <w:rPr>
          <w:spacing w:val="-2"/>
        </w:rPr>
        <w:t xml:space="preserve"> </w:t>
      </w:r>
      <w:proofErr w:type="spellStart"/>
      <w:r>
        <w:t>Hamrock</w:t>
      </w:r>
      <w:proofErr w:type="spellEnd"/>
      <w:r>
        <w:t>,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Grow</w:t>
      </w:r>
      <w:r>
        <w:rPr>
          <w:spacing w:val="-1"/>
        </w:rPr>
        <w:t xml:space="preserve"> </w:t>
      </w:r>
      <w:r>
        <w:t>Before,</w:t>
      </w:r>
      <w:r>
        <w:rPr>
          <w:spacing w:val="-2"/>
        </w:rPr>
        <w:t xml:space="preserve"> </w:t>
      </w:r>
      <w:r>
        <w:t>Du</w:t>
      </w:r>
      <w:r>
        <w:t>ring,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 xml:space="preserve">Years? Measurement Artefacts and What We Can Know </w:t>
      </w:r>
      <w:proofErr w:type="gramStart"/>
      <w:r>
        <w:t>in Spite of</w:t>
      </w:r>
      <w:proofErr w:type="gramEnd"/>
      <w:r>
        <w:t xml:space="preserve"> Them. Sociological Science 2019; 6: 43-80.</w:t>
      </w:r>
    </w:p>
    <w:p w14:paraId="7FB75891" w14:textId="77777777" w:rsidR="0088787E" w:rsidRDefault="001C6BBE">
      <w:pPr>
        <w:pStyle w:val="BodyText"/>
      </w:pPr>
      <w:r>
        <w:rPr>
          <w:position w:val="6"/>
          <w:sz w:val="13"/>
        </w:rPr>
        <w:t>11</w:t>
      </w:r>
      <w:r>
        <w:rPr>
          <w:spacing w:val="12"/>
          <w:position w:val="6"/>
          <w:sz w:val="1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Endowment</w:t>
      </w:r>
      <w:r>
        <w:rPr>
          <w:spacing w:val="-4"/>
        </w:rPr>
        <w:t xml:space="preserve"> </w:t>
      </w:r>
      <w:r>
        <w:t>Foundation. 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closures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attainment</w:t>
      </w:r>
      <w:r>
        <w:rPr>
          <w:spacing w:val="-4"/>
        </w:rPr>
        <w:t xml:space="preserve"> </w:t>
      </w:r>
      <w:r>
        <w:t>gap:</w:t>
      </w:r>
      <w:r>
        <w:rPr>
          <w:spacing w:val="-1"/>
        </w:rPr>
        <w:t xml:space="preserve"> </w:t>
      </w:r>
      <w:r>
        <w:t>Rapid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Assessment, London: Education Endowment Foundation, 2020.</w:t>
      </w:r>
    </w:p>
    <w:p w14:paraId="7FB75892" w14:textId="77777777" w:rsidR="0088787E" w:rsidRDefault="001C6BBE">
      <w:pPr>
        <w:pStyle w:val="BodyText"/>
        <w:spacing w:before="1"/>
      </w:pPr>
      <w:r>
        <w:rPr>
          <w:position w:val="6"/>
          <w:sz w:val="13"/>
        </w:rPr>
        <w:t>12</w:t>
      </w:r>
      <w:r>
        <w:rPr>
          <w:spacing w:val="9"/>
          <w:position w:val="6"/>
          <w:sz w:val="13"/>
        </w:rPr>
        <w:t xml:space="preserve"> </w:t>
      </w:r>
      <w:r>
        <w:t>Millennium</w:t>
      </w:r>
      <w:r>
        <w:rPr>
          <w:spacing w:val="-3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Study.</w:t>
      </w:r>
      <w:r>
        <w:rPr>
          <w:spacing w:val="-4"/>
        </w:rPr>
        <w:t xml:space="preserve"> </w:t>
      </w:r>
      <w:hyperlink r:id="rId13">
        <w:r>
          <w:rPr>
            <w:color w:val="0000FF"/>
            <w:u w:val="single" w:color="0000FF"/>
          </w:rPr>
          <w:t>https://cls.ucl.ac.uk/cls-studies/millennium-cohort-study/</w:t>
        </w:r>
      </w:hyperlink>
      <w:r>
        <w:rPr>
          <w:color w:val="0000FF"/>
          <w:spacing w:val="-5"/>
        </w:rPr>
        <w:t xml:space="preserve"> </w:t>
      </w:r>
      <w:r>
        <w:t>(last</w:t>
      </w:r>
      <w:r>
        <w:rPr>
          <w:spacing w:val="-6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2"/>
        </w:rPr>
        <w:t>2020).</w:t>
      </w:r>
    </w:p>
    <w:p w14:paraId="7FB75893" w14:textId="77777777" w:rsidR="0088787E" w:rsidRDefault="001C6BBE">
      <w:pPr>
        <w:pStyle w:val="BodyText"/>
        <w:spacing w:before="3" w:line="237" w:lineRule="auto"/>
        <w:ind w:right="289"/>
      </w:pPr>
      <w:r>
        <w:rPr>
          <w:position w:val="6"/>
          <w:sz w:val="13"/>
        </w:rPr>
        <w:t>13</w:t>
      </w:r>
      <w:r>
        <w:rPr>
          <w:spacing w:val="11"/>
          <w:position w:val="6"/>
          <w:sz w:val="13"/>
        </w:rPr>
        <w:t xml:space="preserve"> </w:t>
      </w:r>
      <w:r>
        <w:t>Hansen,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(Ed)</w:t>
      </w:r>
      <w:r>
        <w:rPr>
          <w:spacing w:val="-4"/>
        </w:rPr>
        <w:t xml:space="preserve"> </w:t>
      </w:r>
      <w:r>
        <w:t>Millennium</w:t>
      </w:r>
      <w:r>
        <w:rPr>
          <w:spacing w:val="-3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Study. First,</w:t>
      </w:r>
      <w:r>
        <w:rPr>
          <w:spacing w:val="-3"/>
        </w:rPr>
        <w:t xml:space="preserve"> </w:t>
      </w:r>
      <w:r>
        <w:t>Second,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Fourth</w:t>
      </w:r>
      <w:r>
        <w:rPr>
          <w:spacing w:val="-4"/>
        </w:rPr>
        <w:t xml:space="preserve"> </w:t>
      </w:r>
      <w:r>
        <w:t>Surveys.</w:t>
      </w:r>
      <w:r>
        <w:rPr>
          <w:spacing w:val="-4"/>
        </w:rPr>
        <w:t xml:space="preserve"> </w:t>
      </w:r>
      <w:r>
        <w:t>A Guide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Datasets.</w:t>
      </w:r>
      <w:r>
        <w:rPr>
          <w:spacing w:val="-4"/>
        </w:rPr>
        <w:t xml:space="preserve"> </w:t>
      </w:r>
      <w:r>
        <w:t xml:space="preserve">(7th ed.). London: Centre for Longitudinal Studies, Institute of Education 2012 </w:t>
      </w:r>
      <w:hyperlink r:id="rId14">
        <w:r>
          <w:rPr>
            <w:color w:val="0000FF"/>
            <w:spacing w:val="-2"/>
            <w:u w:val="single" w:color="0000FF"/>
          </w:rPr>
          <w:t>http://doc.ukdataservice.ac.uk/doc/6411/mrdoc/pdf/mcs_guide_to_the_datas</w:t>
        </w:r>
        <w:r>
          <w:rPr>
            <w:color w:val="0000FF"/>
            <w:spacing w:val="-2"/>
            <w:u w:val="single" w:color="0000FF"/>
          </w:rPr>
          <w:t>ets_102012.pdf</w:t>
        </w:r>
        <w:r>
          <w:rPr>
            <w:spacing w:val="-2"/>
          </w:rPr>
          <w:t>.</w:t>
        </w:r>
      </w:hyperlink>
    </w:p>
    <w:sectPr w:rsidR="0088787E">
      <w:pgSz w:w="11910" w:h="16840"/>
      <w:pgMar w:top="1280" w:right="1080" w:bottom="1740" w:left="1080" w:header="0" w:footer="1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589F" w14:textId="77777777" w:rsidR="00000000" w:rsidRDefault="001C6BBE">
      <w:r>
        <w:separator/>
      </w:r>
    </w:p>
  </w:endnote>
  <w:endnote w:type="continuationSeparator" w:id="0">
    <w:p w14:paraId="7FB758A1" w14:textId="77777777" w:rsidR="00000000" w:rsidRDefault="001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589A" w14:textId="2D48B1CF" w:rsidR="0088787E" w:rsidRDefault="0088787E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589B" w14:textId="77777777" w:rsidR="00000000" w:rsidRDefault="001C6BBE">
      <w:r>
        <w:separator/>
      </w:r>
    </w:p>
  </w:footnote>
  <w:footnote w:type="continuationSeparator" w:id="0">
    <w:p w14:paraId="7FB7589D" w14:textId="77777777" w:rsidR="00000000" w:rsidRDefault="001C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587A"/>
    <w:multiLevelType w:val="hybridMultilevel"/>
    <w:tmpl w:val="F1341050"/>
    <w:lvl w:ilvl="0" w:tplc="2466E2C0">
      <w:start w:val="1"/>
      <w:numFmt w:val="decimal"/>
      <w:lvlText w:val="(%1)"/>
      <w:lvlJc w:val="left"/>
      <w:pPr>
        <w:ind w:left="4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42E73B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A324092A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CB6A2008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4D42545A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5" w:tplc="94B8F15E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6" w:tplc="5128FF58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36E741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E484294A">
      <w:numFmt w:val="bullet"/>
      <w:lvlText w:val="•"/>
      <w:lvlJc w:val="left"/>
      <w:pPr>
        <w:ind w:left="77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CE4F1F"/>
    <w:multiLevelType w:val="hybridMultilevel"/>
    <w:tmpl w:val="1898CD72"/>
    <w:lvl w:ilvl="0" w:tplc="3F9227E0">
      <w:start w:val="1"/>
      <w:numFmt w:val="decimal"/>
      <w:lvlText w:val="(%1)"/>
      <w:lvlJc w:val="left"/>
      <w:pPr>
        <w:ind w:left="4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06C9AD8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3DA0772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FDE0FF6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EA6259E2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5" w:tplc="89D09682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6" w:tplc="92789494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734238C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7646BE6C">
      <w:numFmt w:val="bullet"/>
      <w:lvlText w:val="•"/>
      <w:lvlJc w:val="left"/>
      <w:pPr>
        <w:ind w:left="7703" w:hanging="360"/>
      </w:pPr>
      <w:rPr>
        <w:rFonts w:hint="default"/>
        <w:lang w:val="en-US" w:eastAsia="en-US" w:bidi="ar-SA"/>
      </w:rPr>
    </w:lvl>
  </w:abstractNum>
  <w:num w:numId="1" w16cid:durableId="404382949">
    <w:abstractNumId w:val="0"/>
  </w:num>
  <w:num w:numId="2" w16cid:durableId="198288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87E"/>
    <w:rsid w:val="001C6BBE"/>
    <w:rsid w:val="008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75809"/>
  <w15:docId w15:val="{2B5A31D9-213F-4241-B171-4FC4787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10" w:right="142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C6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B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6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B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s.ucl.ac.uk/cls-studies/millennium-cohort-stud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38/s41586-020-2405-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unesco.org/covid19/educationrespon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ter.craig@glasgow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.ac.uk/researchinstitutes/healthwellbeing/research/mrccsosocialandpublichealth" TargetMode="External"/><Relationship Id="rId14" Type="http://schemas.openxmlformats.org/officeDocument/2006/relationships/hyperlink" Target="http://doc.ukdataservice.ac.uk/doc/6411/mrdoc/pdf/mcs_guide_to_the_datasets_10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2612</Words>
  <Characters>14712</Characters>
  <Application>Microsoft Office Word</Application>
  <DocSecurity>8</DocSecurity>
  <Lines>272</Lines>
  <Paragraphs>86</Paragraphs>
  <ScaleCrop>false</ScaleCrop>
  <Company/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Enni Miller</cp:lastModifiedBy>
  <cp:revision>2</cp:revision>
  <dcterms:created xsi:type="dcterms:W3CDTF">2023-07-14T10:17:00Z</dcterms:created>
  <dcterms:modified xsi:type="dcterms:W3CDTF">2023-07-14T10:18:00Z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2023-07-14T00:00:00Z</vt:filetime>
  </property>
  <property fmtid="{D5CDD505-2E9C-101B-9397-08002B2CF9AE}" pid="5" name="GrammarlyDocumentId">
    <vt:lpwstr>1d4a0d88e19bf18f43691a198b4c1c5faea8575d146473e1b16032bdd09b6dc8</vt:lpwstr>
  </property>
</Properties>
</file>