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9114" w:type="dxa"/>
        <w:tblLook w:val="01E0" w:firstRow="1" w:lastRow="1" w:firstColumn="1" w:lastColumn="1" w:noHBand="0" w:noVBand="0"/>
      </w:tblPr>
      <w:tblGrid>
        <w:gridCol w:w="5459"/>
        <w:gridCol w:w="3655"/>
      </w:tblGrid>
      <w:tr w:rsidR="00452AC6" w:rsidRPr="004A3569" w14:paraId="4A5EADEE" w14:textId="77777777" w:rsidTr="00452AC6">
        <w:trPr>
          <w:trHeight w:val="1522"/>
        </w:trPr>
        <w:tc>
          <w:tcPr>
            <w:tcW w:w="5459" w:type="dxa"/>
          </w:tcPr>
          <w:p w14:paraId="055BE154" w14:textId="43C1B465" w:rsidR="00FF411B" w:rsidRPr="004A3569" w:rsidRDefault="00FF411B" w:rsidP="00452AC6">
            <w:pPr>
              <w:pStyle w:val="Default"/>
              <w:rPr>
                <w:rFonts w:asciiTheme="minorHAnsi" w:hAnsiTheme="minorHAnsi" w:cs="Calibri"/>
                <w:b/>
                <w:sz w:val="32"/>
                <w:szCs w:val="32"/>
              </w:rPr>
            </w:pPr>
            <w:r>
              <w:rPr>
                <w:rFonts w:asciiTheme="minorHAnsi" w:hAnsiTheme="minorHAnsi" w:cs="Calibri"/>
                <w:b/>
                <w:sz w:val="32"/>
                <w:szCs w:val="32"/>
              </w:rPr>
              <w:t>Information for Applicants 202</w:t>
            </w:r>
            <w:r w:rsidR="00766D12">
              <w:rPr>
                <w:rFonts w:asciiTheme="minorHAnsi" w:hAnsiTheme="minorHAnsi" w:cs="Calibri"/>
                <w:b/>
                <w:sz w:val="32"/>
                <w:szCs w:val="32"/>
              </w:rPr>
              <w:t>4</w:t>
            </w:r>
          </w:p>
          <w:p w14:paraId="30DFFAA1" w14:textId="77777777" w:rsidR="00FF411B" w:rsidRPr="004A3569" w:rsidRDefault="00FF411B" w:rsidP="00452AC6">
            <w:pPr>
              <w:pStyle w:val="Default"/>
              <w:rPr>
                <w:rFonts w:asciiTheme="minorHAnsi" w:hAnsiTheme="minorHAnsi" w:cs="Calibri"/>
                <w:b/>
                <w:sz w:val="28"/>
                <w:szCs w:val="28"/>
              </w:rPr>
            </w:pPr>
          </w:p>
          <w:p w14:paraId="75F0F0E5" w14:textId="77777777" w:rsidR="00B603E1" w:rsidRDefault="00B603E1" w:rsidP="00B603E1">
            <w:pPr>
              <w:pStyle w:val="Default"/>
              <w:rPr>
                <w:rFonts w:asciiTheme="minorHAnsi" w:hAnsiTheme="minorHAnsi" w:cs="Calibri"/>
                <w:b/>
                <w:sz w:val="28"/>
                <w:szCs w:val="28"/>
              </w:rPr>
            </w:pPr>
            <w:r w:rsidRPr="00B603E1">
              <w:rPr>
                <w:rFonts w:asciiTheme="minorHAnsi" w:hAnsiTheme="minorHAnsi" w:cs="Calibri"/>
                <w:b/>
                <w:sz w:val="28"/>
                <w:szCs w:val="28"/>
              </w:rPr>
              <w:t>Postgraduate Travel Scholarships</w:t>
            </w:r>
          </w:p>
          <w:p w14:paraId="5EB4A1A2" w14:textId="77777777" w:rsidR="00B603E1" w:rsidRPr="00B603E1" w:rsidRDefault="00B603E1" w:rsidP="00B603E1">
            <w:pPr>
              <w:pStyle w:val="Default"/>
              <w:rPr>
                <w:rFonts w:asciiTheme="minorHAnsi" w:hAnsiTheme="minorHAnsi" w:cs="Calibri"/>
                <w:b/>
                <w:sz w:val="28"/>
                <w:szCs w:val="28"/>
              </w:rPr>
            </w:pPr>
          </w:p>
          <w:p w14:paraId="37567628" w14:textId="77777777" w:rsidR="00B603E1" w:rsidRPr="00B603E1" w:rsidRDefault="00B603E1" w:rsidP="00B603E1">
            <w:pPr>
              <w:pStyle w:val="Default"/>
              <w:rPr>
                <w:rFonts w:asciiTheme="minorHAnsi" w:hAnsiTheme="minorHAnsi" w:cs="Calibri"/>
                <w:b/>
                <w:sz w:val="28"/>
                <w:szCs w:val="28"/>
              </w:rPr>
            </w:pPr>
            <w:r w:rsidRPr="00B603E1">
              <w:rPr>
                <w:rFonts w:asciiTheme="minorHAnsi" w:hAnsiTheme="minorHAnsi" w:cs="Calibri"/>
                <w:b/>
                <w:sz w:val="28"/>
                <w:szCs w:val="28"/>
              </w:rPr>
              <w:t>• David Fleming-Brown</w:t>
            </w:r>
          </w:p>
          <w:p w14:paraId="0AFFA4D7" w14:textId="77777777" w:rsidR="00B603E1" w:rsidRPr="00B603E1" w:rsidRDefault="00B603E1" w:rsidP="00B603E1">
            <w:pPr>
              <w:pStyle w:val="Default"/>
              <w:rPr>
                <w:rFonts w:asciiTheme="minorHAnsi" w:hAnsiTheme="minorHAnsi" w:cs="Calibri"/>
                <w:b/>
                <w:sz w:val="28"/>
                <w:szCs w:val="28"/>
              </w:rPr>
            </w:pPr>
            <w:r w:rsidRPr="00B603E1">
              <w:rPr>
                <w:rFonts w:asciiTheme="minorHAnsi" w:hAnsiTheme="minorHAnsi" w:cs="Calibri"/>
                <w:b/>
                <w:sz w:val="28"/>
                <w:szCs w:val="28"/>
              </w:rPr>
              <w:t>• Jim Gatheral</w:t>
            </w:r>
          </w:p>
          <w:p w14:paraId="4FF98223" w14:textId="77777777" w:rsidR="00FF411B" w:rsidRDefault="00B603E1" w:rsidP="00B603E1">
            <w:pPr>
              <w:pStyle w:val="Default"/>
              <w:rPr>
                <w:rFonts w:asciiTheme="minorHAnsi" w:hAnsiTheme="minorHAnsi" w:cs="Calibri"/>
                <w:b/>
                <w:sz w:val="28"/>
                <w:szCs w:val="28"/>
              </w:rPr>
            </w:pPr>
            <w:r w:rsidRPr="00B603E1">
              <w:rPr>
                <w:rFonts w:asciiTheme="minorHAnsi" w:hAnsiTheme="minorHAnsi" w:cs="Calibri"/>
                <w:b/>
                <w:sz w:val="28"/>
                <w:szCs w:val="28"/>
              </w:rPr>
              <w:t>• Mac Robertson</w:t>
            </w:r>
          </w:p>
          <w:p w14:paraId="369FD697" w14:textId="52A99D04" w:rsidR="00B603E1" w:rsidRPr="002C183B" w:rsidRDefault="00B603E1" w:rsidP="00B603E1">
            <w:pPr>
              <w:pStyle w:val="Default"/>
              <w:rPr>
                <w:rFonts w:asciiTheme="minorHAnsi" w:hAnsiTheme="minorHAnsi" w:cs="Calibri"/>
                <w:b/>
                <w:sz w:val="28"/>
                <w:szCs w:val="28"/>
                <w:u w:val="single"/>
              </w:rPr>
            </w:pPr>
          </w:p>
        </w:tc>
        <w:tc>
          <w:tcPr>
            <w:tcW w:w="3655" w:type="dxa"/>
          </w:tcPr>
          <w:p w14:paraId="2CF83D91" w14:textId="77777777" w:rsidR="00FF411B" w:rsidRPr="004A3569" w:rsidRDefault="00FF411B" w:rsidP="00452AC6">
            <w:pPr>
              <w:pStyle w:val="Default"/>
              <w:rPr>
                <w:rFonts w:asciiTheme="minorHAnsi" w:hAnsiTheme="minorHAnsi" w:cs="Calibri"/>
                <w:b/>
                <w:bCs/>
                <w:sz w:val="22"/>
                <w:szCs w:val="22"/>
              </w:rPr>
            </w:pPr>
            <w:r w:rsidRPr="004A3569">
              <w:rPr>
                <w:rFonts w:asciiTheme="minorHAnsi" w:hAnsiTheme="minorHAnsi" w:cs="Calibri"/>
                <w:b/>
                <w:bCs/>
                <w:noProof/>
                <w:sz w:val="22"/>
                <w:szCs w:val="22"/>
              </w:rPr>
              <w:drawing>
                <wp:inline distT="0" distB="0" distL="0" distR="0" wp14:anchorId="2D435D87" wp14:editId="597DB711">
                  <wp:extent cx="2049780" cy="6343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043" cy="645897"/>
                          </a:xfrm>
                          <a:prstGeom prst="rect">
                            <a:avLst/>
                          </a:prstGeom>
                          <a:noFill/>
                          <a:ln>
                            <a:noFill/>
                          </a:ln>
                        </pic:spPr>
                      </pic:pic>
                    </a:graphicData>
                  </a:graphic>
                </wp:inline>
              </w:drawing>
            </w:r>
          </w:p>
        </w:tc>
      </w:tr>
    </w:tbl>
    <w:p w14:paraId="5F9A4D7C" w14:textId="78702ECA" w:rsidR="00FF411B" w:rsidRPr="00C17156" w:rsidRDefault="00C17156" w:rsidP="00C17156">
      <w:pPr>
        <w:pStyle w:val="Default"/>
        <w:jc w:val="center"/>
        <w:rPr>
          <w:rFonts w:asciiTheme="minorHAnsi" w:hAnsiTheme="minorHAnsi" w:cs="Calibri"/>
          <w:sz w:val="28"/>
          <w:szCs w:val="28"/>
        </w:rPr>
      </w:pPr>
      <w:r w:rsidRPr="00210CFF">
        <w:rPr>
          <w:rFonts w:asciiTheme="minorHAnsi" w:hAnsiTheme="minorHAnsi" w:cs="Calibri"/>
          <w:b/>
          <w:bCs/>
          <w:sz w:val="28"/>
          <w:szCs w:val="28"/>
        </w:rPr>
        <w:t xml:space="preserve">Deadline: </w:t>
      </w:r>
      <w:bookmarkStart w:id="0" w:name="_Hlk132270936"/>
      <w:r w:rsidR="00602061">
        <w:rPr>
          <w:rFonts w:asciiTheme="minorHAnsi" w:hAnsiTheme="minorHAnsi" w:cs="Calibri"/>
          <w:b/>
          <w:sz w:val="28"/>
          <w:szCs w:val="28"/>
        </w:rPr>
        <w:t>5</w:t>
      </w:r>
      <w:r>
        <w:rPr>
          <w:rFonts w:asciiTheme="minorHAnsi" w:hAnsiTheme="minorHAnsi" w:cs="Calibri"/>
          <w:b/>
          <w:sz w:val="28"/>
          <w:szCs w:val="28"/>
        </w:rPr>
        <w:t xml:space="preserve">.00pm, </w:t>
      </w:r>
      <w:bookmarkEnd w:id="0"/>
      <w:r w:rsidR="006F5098">
        <w:rPr>
          <w:rFonts w:asciiTheme="minorHAnsi" w:hAnsiTheme="minorHAnsi" w:cs="Calibri"/>
          <w:b/>
          <w:sz w:val="28"/>
          <w:szCs w:val="28"/>
        </w:rPr>
        <w:t>Monday, 29</w:t>
      </w:r>
      <w:r w:rsidR="006F5098" w:rsidRPr="006F5098">
        <w:rPr>
          <w:rFonts w:asciiTheme="minorHAnsi" w:hAnsiTheme="minorHAnsi" w:cs="Calibri"/>
          <w:b/>
          <w:sz w:val="28"/>
          <w:szCs w:val="28"/>
          <w:vertAlign w:val="superscript"/>
        </w:rPr>
        <w:t>th</w:t>
      </w:r>
      <w:r w:rsidR="006F5098">
        <w:rPr>
          <w:rFonts w:asciiTheme="minorHAnsi" w:hAnsiTheme="minorHAnsi" w:cs="Calibri"/>
          <w:b/>
          <w:sz w:val="28"/>
          <w:szCs w:val="28"/>
        </w:rPr>
        <w:t xml:space="preserve"> April 2024</w:t>
      </w:r>
    </w:p>
    <w:p w14:paraId="388E624B" w14:textId="77777777" w:rsidR="008D68A4" w:rsidRDefault="008D68A4" w:rsidP="008D68A4">
      <w:pPr>
        <w:pStyle w:val="Default"/>
        <w:rPr>
          <w:rFonts w:asciiTheme="minorHAnsi" w:hAnsiTheme="minorHAnsi" w:cs="Calibri"/>
          <w:b/>
        </w:rPr>
      </w:pPr>
    </w:p>
    <w:p w14:paraId="43DC4819" w14:textId="4F529316" w:rsidR="007B44CF" w:rsidRDefault="007B44CF" w:rsidP="008D68A4">
      <w:pPr>
        <w:pStyle w:val="Default"/>
        <w:rPr>
          <w:rFonts w:asciiTheme="minorHAnsi" w:hAnsiTheme="minorHAnsi" w:cs="Calibri"/>
          <w:b/>
        </w:rPr>
      </w:pPr>
      <w:r w:rsidRPr="008D68A4">
        <w:rPr>
          <w:rFonts w:asciiTheme="minorHAnsi" w:hAnsiTheme="minorHAnsi" w:cs="Calibri"/>
          <w:b/>
        </w:rPr>
        <w:t>Application Process</w:t>
      </w:r>
    </w:p>
    <w:p w14:paraId="2DE18364" w14:textId="77777777" w:rsidR="008D68A4" w:rsidRPr="008D68A4" w:rsidRDefault="008D68A4" w:rsidP="008D68A4">
      <w:pPr>
        <w:pStyle w:val="Default"/>
        <w:rPr>
          <w:rFonts w:asciiTheme="minorHAnsi" w:hAnsiTheme="minorHAnsi" w:cs="Calibri"/>
          <w:b/>
        </w:rPr>
      </w:pPr>
    </w:p>
    <w:p w14:paraId="74C6CABC" w14:textId="476B36EA" w:rsidR="007B44CF" w:rsidRPr="007B44CF" w:rsidRDefault="007B44CF" w:rsidP="00F76D3A">
      <w:r w:rsidRPr="002D3E9F">
        <w:rPr>
          <w:rFonts w:eastAsia="Times New Roman" w:cs="Calibri"/>
          <w:color w:val="000000"/>
          <w:lang w:eastAsia="en-GB"/>
        </w:rPr>
        <w:t>Applications should be completed using the online application form on the University of Glasgow</w:t>
      </w:r>
      <w:r w:rsidR="00C97C5A">
        <w:rPr>
          <w:rFonts w:eastAsia="Times New Roman" w:cs="Calibri"/>
          <w:color w:val="000000"/>
          <w:lang w:eastAsia="en-GB"/>
        </w:rPr>
        <w:t xml:space="preserve"> </w:t>
      </w:r>
      <w:hyperlink r:id="rId9" w:history="1">
        <w:r w:rsidR="00C97C5A">
          <w:rPr>
            <w:rStyle w:val="Hyperlink"/>
          </w:rPr>
          <w:t>Application Portal</w:t>
        </w:r>
      </w:hyperlink>
      <w:r w:rsidRPr="007B44CF">
        <w:t>. Letters or emails confirming your place at the host institution should be submitted to </w:t>
      </w:r>
      <w:hyperlink r:id="rId10" w:history="1">
        <w:r w:rsidRPr="007B44CF">
          <w:rPr>
            <w:rStyle w:val="Hyperlink"/>
          </w:rPr>
          <w:t>pgr@glasgow.ac.uk</w:t>
        </w:r>
      </w:hyperlink>
      <w:r w:rsidRPr="007B44CF">
        <w:t> as a single combined PDF document using the email subject line "Postgraduate Travel Scholarships &lt;&lt;First Name Surname&gt;&gt;, &lt;&lt;Application Reference&gt;&gt;". The deadline to submit the application form and letter/ email confirming your place at the host institution is </w:t>
      </w:r>
      <w:r w:rsidR="00766D12" w:rsidRPr="00766D12">
        <w:rPr>
          <w:b/>
          <w:bCs/>
        </w:rPr>
        <w:t>5.00pm, Monday, 29th April 2024</w:t>
      </w:r>
      <w:r w:rsidRPr="007B44CF">
        <w:t>.</w:t>
      </w:r>
    </w:p>
    <w:p w14:paraId="095C7E78" w14:textId="10E7E3AE" w:rsidR="007B44CF" w:rsidRPr="007B44CF" w:rsidRDefault="007B44CF" w:rsidP="007B44CF">
      <w:r w:rsidRPr="007B44CF">
        <w:t xml:space="preserve">You should receive your Application Reference when you submit your application on the University of Glasgow application portal. Please note that you will be asked to provide the details (including the university email address) of your supervisor. When an application is submitted, the nominated supervisor will receive an e-mail request to provide a Supervisor Statement of Support. Your application will </w:t>
      </w:r>
      <w:r w:rsidR="00A43BB5">
        <w:t>NOT</w:t>
      </w:r>
      <w:r w:rsidRPr="007B44CF">
        <w:t xml:space="preserve"> be considered by the selection committee without the Supervisor Statement of Support.</w:t>
      </w:r>
    </w:p>
    <w:p w14:paraId="3C6C71EC" w14:textId="63A4BC66" w:rsidR="007B44CF" w:rsidRDefault="007B44CF" w:rsidP="007B44CF">
      <w:r w:rsidRPr="007B44CF">
        <w:t xml:space="preserve">All applicants will be notified as to the outcome of their application shortly after the selection committee has been held during </w:t>
      </w:r>
      <w:r w:rsidR="00766D12">
        <w:t>May 2024</w:t>
      </w:r>
      <w:r w:rsidRPr="007B44CF">
        <w:t>.</w:t>
      </w:r>
    </w:p>
    <w:p w14:paraId="275B4AA5" w14:textId="04C48114" w:rsidR="007B44CF" w:rsidRDefault="007B44CF" w:rsidP="00853C3A">
      <w:pPr>
        <w:spacing w:after="0"/>
        <w:rPr>
          <w:b/>
          <w:bCs/>
          <w:sz w:val="24"/>
          <w:szCs w:val="24"/>
        </w:rPr>
      </w:pPr>
      <w:r w:rsidRPr="00A21349">
        <w:rPr>
          <w:b/>
          <w:bCs/>
          <w:sz w:val="24"/>
          <w:szCs w:val="24"/>
        </w:rPr>
        <w:t>Aims</w:t>
      </w:r>
    </w:p>
    <w:p w14:paraId="58925378" w14:textId="77777777" w:rsidR="00933327" w:rsidRPr="00A21349" w:rsidRDefault="00933327" w:rsidP="00853C3A">
      <w:pPr>
        <w:spacing w:after="0"/>
        <w:rPr>
          <w:b/>
          <w:bCs/>
          <w:sz w:val="24"/>
          <w:szCs w:val="24"/>
        </w:rPr>
      </w:pPr>
    </w:p>
    <w:p w14:paraId="744B6299" w14:textId="77777777" w:rsidR="007B44CF" w:rsidRPr="007B44CF" w:rsidRDefault="007B44CF" w:rsidP="00853C3A">
      <w:pPr>
        <w:numPr>
          <w:ilvl w:val="0"/>
          <w:numId w:val="5"/>
        </w:numPr>
        <w:spacing w:after="0" w:line="240" w:lineRule="auto"/>
        <w:ind w:left="357" w:hanging="357"/>
      </w:pPr>
      <w:r w:rsidRPr="007B44CF">
        <w:t>To provide funding for postgraduate research students to undertake a research placement, usually out with the UK at a recognised research institution.</w:t>
      </w:r>
    </w:p>
    <w:p w14:paraId="0B126C70" w14:textId="77777777" w:rsidR="007B44CF" w:rsidRPr="007B44CF" w:rsidRDefault="007B44CF" w:rsidP="00793880">
      <w:pPr>
        <w:numPr>
          <w:ilvl w:val="0"/>
          <w:numId w:val="5"/>
        </w:numPr>
        <w:spacing w:after="0" w:line="240" w:lineRule="auto"/>
        <w:ind w:left="357" w:hanging="357"/>
      </w:pPr>
      <w:r w:rsidRPr="007B44CF">
        <w:t>To provide funding to high quality students who have already shown academic distinction that will enrich and further their academic experience and research achievements.</w:t>
      </w:r>
    </w:p>
    <w:p w14:paraId="5CD6CB0B" w14:textId="77777777" w:rsidR="007B44CF" w:rsidRPr="007B44CF" w:rsidRDefault="007B44CF" w:rsidP="00793880">
      <w:pPr>
        <w:numPr>
          <w:ilvl w:val="0"/>
          <w:numId w:val="5"/>
        </w:numPr>
        <w:spacing w:after="0" w:line="240" w:lineRule="auto"/>
        <w:ind w:left="357" w:hanging="357"/>
      </w:pPr>
      <w:r w:rsidRPr="007B44CF">
        <w:t>To foster collaborative links with other research institutions</w:t>
      </w:r>
    </w:p>
    <w:p w14:paraId="37385457" w14:textId="77777777" w:rsidR="007B44CF" w:rsidRPr="007B44CF" w:rsidRDefault="007B44CF" w:rsidP="00793880">
      <w:pPr>
        <w:numPr>
          <w:ilvl w:val="0"/>
          <w:numId w:val="5"/>
        </w:numPr>
        <w:spacing w:after="0" w:line="240" w:lineRule="auto"/>
        <w:ind w:left="357" w:hanging="357"/>
      </w:pPr>
      <w:r w:rsidRPr="007B44CF">
        <w:t>To introduce new skills to the University.</w:t>
      </w:r>
    </w:p>
    <w:p w14:paraId="1C2857A3" w14:textId="77777777" w:rsidR="00793880" w:rsidRDefault="00793880" w:rsidP="00853C3A">
      <w:pPr>
        <w:spacing w:after="0" w:line="240" w:lineRule="auto"/>
        <w:rPr>
          <w:b/>
          <w:bCs/>
          <w:sz w:val="24"/>
          <w:szCs w:val="24"/>
        </w:rPr>
      </w:pPr>
    </w:p>
    <w:p w14:paraId="0708644D" w14:textId="2982DB6B" w:rsidR="007B44CF" w:rsidRDefault="007B44CF" w:rsidP="00853C3A">
      <w:pPr>
        <w:spacing w:after="0" w:line="240" w:lineRule="auto"/>
        <w:rPr>
          <w:b/>
          <w:bCs/>
          <w:sz w:val="24"/>
          <w:szCs w:val="24"/>
        </w:rPr>
      </w:pPr>
      <w:r w:rsidRPr="00A21349">
        <w:rPr>
          <w:b/>
          <w:bCs/>
          <w:sz w:val="24"/>
          <w:szCs w:val="24"/>
        </w:rPr>
        <w:t>The Award</w:t>
      </w:r>
    </w:p>
    <w:p w14:paraId="09D96BD3" w14:textId="77777777" w:rsidR="00933327" w:rsidRDefault="00933327" w:rsidP="00853C3A">
      <w:pPr>
        <w:spacing w:after="0" w:line="240" w:lineRule="auto"/>
        <w:rPr>
          <w:b/>
          <w:bCs/>
          <w:sz w:val="24"/>
          <w:szCs w:val="24"/>
        </w:rPr>
      </w:pPr>
    </w:p>
    <w:p w14:paraId="087F5CC7" w14:textId="77777777" w:rsidR="00AF73BD" w:rsidRPr="00AF73BD" w:rsidRDefault="00AF73BD" w:rsidP="00DB5620">
      <w:pPr>
        <w:pStyle w:val="ListParagraph"/>
        <w:numPr>
          <w:ilvl w:val="0"/>
          <w:numId w:val="6"/>
        </w:numPr>
        <w:spacing w:after="0" w:line="240" w:lineRule="auto"/>
      </w:pPr>
      <w:r w:rsidRPr="00AF73BD">
        <w:t>Generally successful applicants will only be awarded from a single travel scholarship, although applicants may apply for all 3 scholarships if they meet the eligibility criteria. In exceptional circumstances, applicants may be awarded from multiple travel scholarships if they meet the eligibility criteria and available funds allow.</w:t>
      </w:r>
    </w:p>
    <w:p w14:paraId="67FC9784" w14:textId="0E2A162C" w:rsidR="007B44CF" w:rsidRPr="007B44CF" w:rsidRDefault="007B44CF" w:rsidP="00DB5620">
      <w:pPr>
        <w:numPr>
          <w:ilvl w:val="0"/>
          <w:numId w:val="6"/>
        </w:numPr>
        <w:spacing w:after="0" w:line="240" w:lineRule="auto"/>
      </w:pPr>
      <w:r w:rsidRPr="007B44CF">
        <w:t xml:space="preserve">The scholarship will be valid for travel up to 1 year from the date of the Selection Panel meeting in </w:t>
      </w:r>
      <w:r w:rsidR="00766D12">
        <w:t>May 2024</w:t>
      </w:r>
      <w:r w:rsidRPr="007B44CF">
        <w:t xml:space="preserve"> for travel commencing between 1 </w:t>
      </w:r>
      <w:r w:rsidR="00766D12">
        <w:t>June 2024</w:t>
      </w:r>
      <w:r w:rsidRPr="007B44CF">
        <w:t xml:space="preserve"> and </w:t>
      </w:r>
      <w:r w:rsidR="00792613">
        <w:t>3</w:t>
      </w:r>
      <w:r w:rsidR="00766D12">
        <w:t>1</w:t>
      </w:r>
      <w:r w:rsidR="00792613">
        <w:t xml:space="preserve"> </w:t>
      </w:r>
      <w:r w:rsidR="00766D12">
        <w:t>May 2025</w:t>
      </w:r>
      <w:r w:rsidRPr="007B44CF">
        <w:t>, unless otherwise agreed. Placements that are already underway will not be funded.</w:t>
      </w:r>
    </w:p>
    <w:p w14:paraId="604D8FF9" w14:textId="77777777" w:rsidR="007B44CF" w:rsidRPr="007B44CF" w:rsidRDefault="007B44CF" w:rsidP="00DB5620">
      <w:pPr>
        <w:numPr>
          <w:ilvl w:val="0"/>
          <w:numId w:val="6"/>
        </w:numPr>
        <w:spacing w:after="0" w:line="240" w:lineRule="auto"/>
      </w:pPr>
      <w:r w:rsidRPr="007B44CF">
        <w:lastRenderedPageBreak/>
        <w:t>The scholarship is designed to contribute towards placement expenses and may not cover all expenses incurred. Award holders will be expected to show how they will cover the cost of any shortfall before funds are released.</w:t>
      </w:r>
    </w:p>
    <w:p w14:paraId="1A992850" w14:textId="77777777" w:rsidR="007B44CF" w:rsidRPr="007B44CF" w:rsidRDefault="007B44CF" w:rsidP="00DB5620">
      <w:pPr>
        <w:numPr>
          <w:ilvl w:val="0"/>
          <w:numId w:val="6"/>
        </w:numPr>
        <w:spacing w:after="0" w:line="240" w:lineRule="auto"/>
      </w:pPr>
      <w:r w:rsidRPr="007B44CF">
        <w:t>The scholarship will comprise of a contribution towards:</w:t>
      </w:r>
    </w:p>
    <w:p w14:paraId="00AC4B46" w14:textId="77777777" w:rsidR="007B44CF" w:rsidRPr="007B44CF" w:rsidRDefault="007B44CF" w:rsidP="00DB5620">
      <w:pPr>
        <w:numPr>
          <w:ilvl w:val="1"/>
          <w:numId w:val="6"/>
        </w:numPr>
        <w:spacing w:after="0" w:line="240" w:lineRule="auto"/>
      </w:pPr>
      <w:r w:rsidRPr="007B44CF">
        <w:t>Accommodation</w:t>
      </w:r>
    </w:p>
    <w:p w14:paraId="6CD07779" w14:textId="77777777" w:rsidR="007B44CF" w:rsidRPr="007B44CF" w:rsidRDefault="007B44CF" w:rsidP="00DB5620">
      <w:pPr>
        <w:numPr>
          <w:ilvl w:val="1"/>
          <w:numId w:val="6"/>
        </w:numPr>
        <w:spacing w:after="0" w:line="240" w:lineRule="auto"/>
      </w:pPr>
      <w:r w:rsidRPr="007B44CF">
        <w:t xml:space="preserve">Travel </w:t>
      </w:r>
      <w:proofErr w:type="gramStart"/>
      <w:r w:rsidRPr="007B44CF">
        <w:t>expenses</w:t>
      </w:r>
      <w:proofErr w:type="gramEnd"/>
    </w:p>
    <w:p w14:paraId="14843BE5" w14:textId="77777777" w:rsidR="007B44CF" w:rsidRPr="007B44CF" w:rsidRDefault="007B44CF" w:rsidP="00DB5620">
      <w:pPr>
        <w:numPr>
          <w:ilvl w:val="1"/>
          <w:numId w:val="6"/>
        </w:numPr>
        <w:spacing w:after="0" w:line="240" w:lineRule="auto"/>
      </w:pPr>
      <w:r w:rsidRPr="007B44CF">
        <w:t>Visa expenses</w:t>
      </w:r>
    </w:p>
    <w:p w14:paraId="2FFA849A" w14:textId="77777777" w:rsidR="007B44CF" w:rsidRPr="007B44CF" w:rsidRDefault="007B44CF" w:rsidP="00DB5620">
      <w:pPr>
        <w:numPr>
          <w:ilvl w:val="1"/>
          <w:numId w:val="6"/>
        </w:numPr>
        <w:spacing w:after="0" w:line="240" w:lineRule="auto"/>
      </w:pPr>
      <w:r w:rsidRPr="007B44CF">
        <w:t>Local travel during research trip</w:t>
      </w:r>
    </w:p>
    <w:p w14:paraId="38BDDB91" w14:textId="77777777" w:rsidR="007B44CF" w:rsidRPr="007B44CF" w:rsidRDefault="007B44CF" w:rsidP="00DB5620">
      <w:pPr>
        <w:numPr>
          <w:ilvl w:val="1"/>
          <w:numId w:val="6"/>
        </w:numPr>
        <w:spacing w:after="0" w:line="240" w:lineRule="auto"/>
      </w:pPr>
      <w:r w:rsidRPr="007B44CF">
        <w:t>Subsistence</w:t>
      </w:r>
    </w:p>
    <w:p w14:paraId="669D186C" w14:textId="77777777" w:rsidR="007B44CF" w:rsidRPr="007B44CF" w:rsidRDefault="007B44CF" w:rsidP="00DB5620">
      <w:pPr>
        <w:numPr>
          <w:ilvl w:val="1"/>
          <w:numId w:val="6"/>
        </w:numPr>
        <w:spacing w:after="0" w:line="240" w:lineRule="auto"/>
      </w:pPr>
      <w:r w:rsidRPr="007B44CF">
        <w:t>Tuition fees during research trip</w:t>
      </w:r>
    </w:p>
    <w:p w14:paraId="7E126270" w14:textId="51D52975" w:rsidR="00A21349" w:rsidRPr="007B44CF" w:rsidRDefault="007B44CF" w:rsidP="00DB5620">
      <w:pPr>
        <w:numPr>
          <w:ilvl w:val="1"/>
          <w:numId w:val="6"/>
        </w:numPr>
        <w:spacing w:after="0" w:line="240" w:lineRule="auto"/>
      </w:pPr>
      <w:r w:rsidRPr="007B44CF">
        <w:t xml:space="preserve">Other expenses as approved by the selection </w:t>
      </w:r>
      <w:r w:rsidR="0004517C" w:rsidRPr="007B44CF">
        <w:t>committee.</w:t>
      </w:r>
    </w:p>
    <w:p w14:paraId="3D34ABB2" w14:textId="77777777" w:rsidR="007B44CF" w:rsidRPr="007B44CF" w:rsidRDefault="007B44CF" w:rsidP="00DB5620">
      <w:pPr>
        <w:numPr>
          <w:ilvl w:val="0"/>
          <w:numId w:val="6"/>
        </w:numPr>
        <w:spacing w:after="0" w:line="240" w:lineRule="auto"/>
      </w:pPr>
      <w:r w:rsidRPr="007B44CF">
        <w:t xml:space="preserve">The scholarship will </w:t>
      </w:r>
      <w:r w:rsidRPr="00AF1715">
        <w:rPr>
          <w:b/>
          <w:bCs/>
        </w:rPr>
        <w:t>not</w:t>
      </w:r>
      <w:r w:rsidRPr="007B44CF">
        <w:t xml:space="preserve"> cover:</w:t>
      </w:r>
    </w:p>
    <w:p w14:paraId="28ABAF2C" w14:textId="77777777" w:rsidR="007B44CF" w:rsidRPr="007B44CF" w:rsidRDefault="007B44CF" w:rsidP="00DB5620">
      <w:pPr>
        <w:numPr>
          <w:ilvl w:val="1"/>
          <w:numId w:val="6"/>
        </w:numPr>
        <w:spacing w:after="0" w:line="240" w:lineRule="auto"/>
      </w:pPr>
      <w:r w:rsidRPr="007B44CF">
        <w:t>conference attendance (although you may attend relevant conferences during your stay)</w:t>
      </w:r>
    </w:p>
    <w:p w14:paraId="5D6BE6DA" w14:textId="77777777" w:rsidR="007B44CF" w:rsidRPr="007B44CF" w:rsidRDefault="007B44CF" w:rsidP="00DB5620">
      <w:pPr>
        <w:numPr>
          <w:ilvl w:val="1"/>
          <w:numId w:val="6"/>
        </w:numPr>
        <w:spacing w:after="0" w:line="240" w:lineRule="auto"/>
      </w:pPr>
      <w:r w:rsidRPr="007B44CF">
        <w:t>tuition fees or routine living expenses (other than those incurred on placement)</w:t>
      </w:r>
    </w:p>
    <w:p w14:paraId="0F84180F" w14:textId="77777777" w:rsidR="007B44CF" w:rsidRPr="007B44CF" w:rsidRDefault="007B44CF" w:rsidP="00DB5620">
      <w:pPr>
        <w:numPr>
          <w:ilvl w:val="1"/>
          <w:numId w:val="6"/>
        </w:numPr>
        <w:spacing w:after="0" w:line="240" w:lineRule="auto"/>
      </w:pPr>
      <w:r w:rsidRPr="007B44CF">
        <w:t>students returning to their home country for their placement, unless clear evidence is provided to show that the placement would add significantly to their technical expertise (for example, because the home country leads study in the field)</w:t>
      </w:r>
    </w:p>
    <w:p w14:paraId="599BA946" w14:textId="77777777" w:rsidR="007B44CF" w:rsidRPr="007B44CF" w:rsidRDefault="007B44CF" w:rsidP="00DB5620">
      <w:pPr>
        <w:numPr>
          <w:ilvl w:val="1"/>
          <w:numId w:val="6"/>
        </w:numPr>
        <w:spacing w:after="0" w:line="240" w:lineRule="auto"/>
      </w:pPr>
      <w:r w:rsidRPr="007B44CF">
        <w:t>equipment purchase</w:t>
      </w:r>
    </w:p>
    <w:p w14:paraId="5EE4D173" w14:textId="05090E9E" w:rsidR="00E45779" w:rsidRPr="00E45779" w:rsidRDefault="00000000" w:rsidP="00DB5620">
      <w:pPr>
        <w:numPr>
          <w:ilvl w:val="1"/>
          <w:numId w:val="6"/>
        </w:numPr>
        <w:spacing w:after="0" w:line="240" w:lineRule="auto"/>
        <w:rPr>
          <w:u w:val="single"/>
        </w:rPr>
      </w:pPr>
      <w:hyperlink r:id="rId11" w:tgtFrame="_blank" w:history="1">
        <w:r w:rsidR="007B44CF" w:rsidRPr="007B44CF">
          <w:rPr>
            <w:rStyle w:val="Hyperlink"/>
          </w:rPr>
          <w:t>trave</w:t>
        </w:r>
        <w:r w:rsidR="007B44CF" w:rsidRPr="007B44CF">
          <w:rPr>
            <w:rStyle w:val="Hyperlink"/>
          </w:rPr>
          <w:t>l</w:t>
        </w:r>
        <w:r w:rsidR="007B44CF" w:rsidRPr="007B44CF">
          <w:rPr>
            <w:rStyle w:val="Hyperlink"/>
          </w:rPr>
          <w:t xml:space="preserve"> insurance</w:t>
        </w:r>
      </w:hyperlink>
      <w:r w:rsidR="007B44CF" w:rsidRPr="007B44CF">
        <w:t xml:space="preserve"> (you can access this via the </w:t>
      </w:r>
      <w:r w:rsidR="00C97C5A">
        <w:t>u</w:t>
      </w:r>
      <w:r w:rsidR="007B44CF" w:rsidRPr="007B44CF">
        <w:t>niversity free of charge</w:t>
      </w:r>
      <w:r w:rsidR="00C97C5A">
        <w:t>)</w:t>
      </w:r>
      <w:r w:rsidR="004C2717">
        <w:t>.</w:t>
      </w:r>
      <w:r w:rsidR="00C97C5A">
        <w:t xml:space="preserve"> Students at the </w:t>
      </w:r>
      <w:r w:rsidR="00E45779">
        <w:t xml:space="preserve">University of Strathclyde should refer to their university’s </w:t>
      </w:r>
      <w:hyperlink r:id="rId12" w:history="1">
        <w:r w:rsidR="00E45779" w:rsidRPr="00E45779">
          <w:rPr>
            <w:rStyle w:val="Hyperlink"/>
          </w:rPr>
          <w:t>travel insurance</w:t>
        </w:r>
      </w:hyperlink>
      <w:r w:rsidR="00E45779">
        <w:t xml:space="preserve"> page.</w:t>
      </w:r>
    </w:p>
    <w:p w14:paraId="305520E2" w14:textId="31CDB050" w:rsidR="00E45779" w:rsidRPr="00E45779" w:rsidRDefault="00E45779" w:rsidP="00E45779">
      <w:pPr>
        <w:pStyle w:val="ListParagraph"/>
        <w:numPr>
          <w:ilvl w:val="0"/>
          <w:numId w:val="6"/>
        </w:numPr>
        <w:spacing w:after="0" w:line="240" w:lineRule="auto"/>
        <w:rPr>
          <w:u w:val="single"/>
        </w:rPr>
      </w:pPr>
      <w:r>
        <w:t xml:space="preserve">Applicants </w:t>
      </w:r>
      <w:r>
        <w:t>from</w:t>
      </w:r>
      <w:r>
        <w:t xml:space="preserve"> the University of Glasgow must refer to University’s </w:t>
      </w:r>
      <w:hyperlink r:id="rId13" w:history="1">
        <w:r w:rsidRPr="00A50737">
          <w:rPr>
            <w:rStyle w:val="Hyperlink"/>
          </w:rPr>
          <w:t>Travel Book</w:t>
        </w:r>
        <w:r w:rsidRPr="00A50737">
          <w:rPr>
            <w:rStyle w:val="Hyperlink"/>
          </w:rPr>
          <w:t>i</w:t>
        </w:r>
        <w:r w:rsidRPr="00A50737">
          <w:rPr>
            <w:rStyle w:val="Hyperlink"/>
          </w:rPr>
          <w:t>ng policy</w:t>
        </w:r>
      </w:hyperlink>
      <w:r w:rsidRPr="00E45779">
        <w:rPr>
          <w:rStyle w:val="Hyperlink"/>
          <w:u w:val="none"/>
        </w:rPr>
        <w:t>.</w:t>
      </w:r>
      <w:r>
        <w:t xml:space="preserve"> </w:t>
      </w:r>
      <w:r>
        <w:t xml:space="preserve"> Applicants from the </w:t>
      </w:r>
      <w:r w:rsidRPr="00C96D4A">
        <w:t xml:space="preserve">University of Strathclyde </w:t>
      </w:r>
      <w:r>
        <w:t xml:space="preserve">should </w:t>
      </w:r>
      <w:r>
        <w:t xml:space="preserve">refer to their own </w:t>
      </w:r>
      <w:hyperlink r:id="rId14" w:history="1">
        <w:r>
          <w:rPr>
            <w:rStyle w:val="Hyperlink"/>
          </w:rPr>
          <w:t>Going Abroad guide</w:t>
        </w:r>
      </w:hyperlink>
      <w:r w:rsidRPr="00E45779">
        <w:rPr>
          <w:rStyle w:val="Hyperlink"/>
          <w:u w:val="none"/>
        </w:rPr>
        <w:t xml:space="preserve">. </w:t>
      </w:r>
      <w:r w:rsidRPr="00E45779">
        <w:rPr>
          <w:rStyle w:val="Hyperlink"/>
          <w:color w:val="auto"/>
          <w:u w:val="none"/>
        </w:rPr>
        <w:t xml:space="preserve">Please note that </w:t>
      </w:r>
      <w:r w:rsidRPr="00E45779">
        <w:rPr>
          <w:b/>
          <w:bCs/>
          <w:u w:val="single"/>
        </w:rPr>
        <w:t>the use of Airbnb accommodation bookings is prohibited</w:t>
      </w:r>
      <w:r w:rsidRPr="00E45779">
        <w:t>.</w:t>
      </w:r>
      <w:r w:rsidRPr="00E45779">
        <w:rPr>
          <w:rStyle w:val="Hyperlink"/>
          <w:color w:val="auto"/>
          <w:u w:val="none"/>
        </w:rPr>
        <w:t xml:space="preserve"> </w:t>
      </w:r>
      <w:r w:rsidRPr="00E45779">
        <w:rPr>
          <w:rStyle w:val="Hyperlink"/>
          <w:color w:val="auto"/>
          <w:u w:val="none"/>
        </w:rPr>
        <w:t>This applies for both universities.</w:t>
      </w:r>
    </w:p>
    <w:p w14:paraId="6F39669E" w14:textId="186D3348" w:rsidR="0004517C" w:rsidRDefault="0004517C" w:rsidP="00D129F3">
      <w:pPr>
        <w:pStyle w:val="ListParagraph"/>
        <w:numPr>
          <w:ilvl w:val="0"/>
          <w:numId w:val="6"/>
        </w:numPr>
        <w:spacing w:after="0" w:line="240" w:lineRule="auto"/>
      </w:pPr>
      <w:r w:rsidRPr="0004517C">
        <w:t xml:space="preserve">When making your application please consider, and discuss with your supervisor, if export controls might be relevant to your proposed research placement. Export control refers to a set of legal restrictions on the transfer of certain goods, equipment, materials, </w:t>
      </w:r>
      <w:proofErr w:type="gramStart"/>
      <w:r w:rsidRPr="0004517C">
        <w:t>software</w:t>
      </w:r>
      <w:proofErr w:type="gramEnd"/>
      <w:r w:rsidRPr="0004517C">
        <w:t xml:space="preserve"> and technology from the UK to a destination outside the UK with the aim of protecting national security. This means that you must consider the topic of your research and the institution where you will take up your placement. The University policy and guidance for </w:t>
      </w:r>
      <w:hyperlink r:id="rId15" w:history="1">
        <w:r w:rsidRPr="0004517C">
          <w:rPr>
            <w:rStyle w:val="Hyperlink"/>
          </w:rPr>
          <w:t>Export Control Compliance</w:t>
        </w:r>
      </w:hyperlink>
      <w:r w:rsidRPr="0004517C">
        <w:t xml:space="preserve"> is available on the University website. If you have any queries or concerns about this, please contact the </w:t>
      </w:r>
      <w:hyperlink r:id="rId16" w:history="1">
        <w:r w:rsidRPr="0004517C">
          <w:rPr>
            <w:rStyle w:val="Hyperlink"/>
          </w:rPr>
          <w:t>Research Governance team</w:t>
        </w:r>
      </w:hyperlink>
      <w:r w:rsidRPr="0004517C">
        <w:t>.</w:t>
      </w:r>
    </w:p>
    <w:p w14:paraId="4C04A05C" w14:textId="073EBC4F" w:rsidR="007B44CF" w:rsidRPr="007B44CF" w:rsidRDefault="007B44CF" w:rsidP="00D129F3">
      <w:pPr>
        <w:pStyle w:val="ListParagraph"/>
        <w:numPr>
          <w:ilvl w:val="0"/>
          <w:numId w:val="6"/>
        </w:numPr>
        <w:spacing w:after="0" w:line="240" w:lineRule="auto"/>
      </w:pPr>
      <w:r w:rsidRPr="007B44CF">
        <w:t xml:space="preserve">The value of the scholarships can </w:t>
      </w:r>
      <w:r w:rsidR="0004517C" w:rsidRPr="007B44CF">
        <w:t>vary,</w:t>
      </w:r>
      <w:r w:rsidRPr="007B44CF">
        <w:t xml:space="preserve"> and the number and value of the awards allocated each year will be at the discretion of the selection committee. The amount available shown below are for guidance only. The costings submitted by applicants will be closely scrutinised and any award made may vary from the amount applied for.</w:t>
      </w:r>
    </w:p>
    <w:p w14:paraId="2CE677DC" w14:textId="77777777" w:rsidR="00853C3A" w:rsidRDefault="00853C3A" w:rsidP="00853C3A">
      <w:pPr>
        <w:spacing w:after="0"/>
        <w:rPr>
          <w:b/>
          <w:bCs/>
          <w:sz w:val="24"/>
          <w:szCs w:val="24"/>
        </w:rPr>
      </w:pPr>
    </w:p>
    <w:p w14:paraId="6888D5C4" w14:textId="0C36C9C0" w:rsidR="007B44CF" w:rsidRDefault="007B44CF" w:rsidP="0062137E">
      <w:pPr>
        <w:spacing w:after="0"/>
        <w:rPr>
          <w:b/>
          <w:bCs/>
          <w:sz w:val="24"/>
          <w:szCs w:val="24"/>
        </w:rPr>
      </w:pPr>
      <w:r w:rsidRPr="00A21349">
        <w:rPr>
          <w:b/>
          <w:bCs/>
          <w:sz w:val="24"/>
          <w:szCs w:val="24"/>
        </w:rPr>
        <w:t>Terms of the Award</w:t>
      </w:r>
    </w:p>
    <w:p w14:paraId="245ECCE7" w14:textId="77777777" w:rsidR="00933327" w:rsidRDefault="00933327" w:rsidP="0062137E">
      <w:pPr>
        <w:spacing w:after="0"/>
        <w:rPr>
          <w:b/>
          <w:bCs/>
          <w:sz w:val="24"/>
          <w:szCs w:val="24"/>
        </w:rPr>
      </w:pPr>
    </w:p>
    <w:p w14:paraId="647DB311" w14:textId="77777777" w:rsidR="007B44CF" w:rsidRPr="007B44CF" w:rsidRDefault="007B44CF" w:rsidP="00DB5620">
      <w:pPr>
        <w:numPr>
          <w:ilvl w:val="0"/>
          <w:numId w:val="7"/>
        </w:numPr>
        <w:spacing w:after="0" w:line="240" w:lineRule="auto"/>
        <w:ind w:left="357" w:hanging="357"/>
      </w:pPr>
      <w:r w:rsidRPr="007B44CF">
        <w:t xml:space="preserve">Each awardee will be required to </w:t>
      </w:r>
      <w:proofErr w:type="gramStart"/>
      <w:r w:rsidRPr="007B44CF">
        <w:t>enter into</w:t>
      </w:r>
      <w:proofErr w:type="gramEnd"/>
      <w:r w:rsidRPr="007B44CF">
        <w:t xml:space="preserve"> a contract with the University of Glasgow.</w:t>
      </w:r>
    </w:p>
    <w:p w14:paraId="454B7E79" w14:textId="77777777" w:rsidR="007B44CF" w:rsidRPr="007B44CF" w:rsidRDefault="007B44CF" w:rsidP="00DB5620">
      <w:pPr>
        <w:numPr>
          <w:ilvl w:val="0"/>
          <w:numId w:val="7"/>
        </w:numPr>
        <w:spacing w:after="0" w:line="240" w:lineRule="auto"/>
        <w:ind w:left="357" w:hanging="357"/>
      </w:pPr>
      <w:r w:rsidRPr="007B44CF">
        <w:t>Funds will usually be made available in instalments in line with a schedule agreed with the PGR Service.</w:t>
      </w:r>
    </w:p>
    <w:p w14:paraId="7C3FC5FD" w14:textId="77777777" w:rsidR="007B44CF" w:rsidRPr="007B44CF" w:rsidRDefault="007B44CF" w:rsidP="00DB5620">
      <w:pPr>
        <w:numPr>
          <w:ilvl w:val="0"/>
          <w:numId w:val="7"/>
        </w:numPr>
        <w:spacing w:after="0" w:line="240" w:lineRule="auto"/>
        <w:ind w:left="357" w:hanging="357"/>
      </w:pPr>
      <w:r w:rsidRPr="007B44CF">
        <w:t>Funds will only be released on confirmation from the relevant supervisor/Graduate School that the student's progress is satisfactory.</w:t>
      </w:r>
    </w:p>
    <w:p w14:paraId="359B798A" w14:textId="77777777" w:rsidR="007B44CF" w:rsidRPr="007B44CF" w:rsidRDefault="007B44CF" w:rsidP="00DB5620">
      <w:pPr>
        <w:numPr>
          <w:ilvl w:val="0"/>
          <w:numId w:val="7"/>
        </w:numPr>
        <w:spacing w:after="0" w:line="240" w:lineRule="auto"/>
        <w:ind w:left="357" w:hanging="357"/>
      </w:pPr>
      <w:r w:rsidRPr="007B44CF">
        <w:t>If a candidate withdraws from study within 2 months of their return without good cause, the funds allocated may be required to be repaid to the scholarship fund.</w:t>
      </w:r>
    </w:p>
    <w:p w14:paraId="28927C13" w14:textId="77777777" w:rsidR="007B44CF" w:rsidRPr="007B44CF" w:rsidRDefault="007B44CF" w:rsidP="00DB5620">
      <w:pPr>
        <w:numPr>
          <w:ilvl w:val="0"/>
          <w:numId w:val="7"/>
        </w:numPr>
        <w:spacing w:after="0" w:line="240" w:lineRule="auto"/>
        <w:ind w:left="357" w:hanging="357"/>
      </w:pPr>
      <w:r w:rsidRPr="007B44CF">
        <w:t>Each awardee will be required to submit a report to the University within 1 month of their return. Further guidance on writing the report will be made available to successful applicants.</w:t>
      </w:r>
    </w:p>
    <w:p w14:paraId="16AEAFAF" w14:textId="77777777" w:rsidR="007B44CF" w:rsidRPr="007B44CF" w:rsidRDefault="007B44CF" w:rsidP="00DB5620">
      <w:pPr>
        <w:numPr>
          <w:ilvl w:val="0"/>
          <w:numId w:val="7"/>
        </w:numPr>
        <w:spacing w:after="0" w:line="240" w:lineRule="auto"/>
        <w:ind w:left="357" w:hanging="357"/>
      </w:pPr>
      <w:r w:rsidRPr="007B44CF">
        <w:t>It is the responsibility of the student to manage their expenditure according to the allowance allocated. The scholarship award amount will </w:t>
      </w:r>
      <w:r w:rsidRPr="007B44CF">
        <w:rPr>
          <w:b/>
          <w:bCs/>
        </w:rPr>
        <w:t>not</w:t>
      </w:r>
      <w:r w:rsidRPr="007B44CF">
        <w:t> be increased to cover unexpected expenses incurred by the student whilst on placement.</w:t>
      </w:r>
    </w:p>
    <w:p w14:paraId="46968AB1" w14:textId="77777777" w:rsidR="007B44CF" w:rsidRPr="007B44CF" w:rsidRDefault="007B44CF" w:rsidP="00DB5620">
      <w:pPr>
        <w:numPr>
          <w:ilvl w:val="0"/>
          <w:numId w:val="7"/>
        </w:numPr>
        <w:spacing w:after="0" w:line="240" w:lineRule="auto"/>
        <w:ind w:left="357" w:hanging="357"/>
      </w:pPr>
      <w:r w:rsidRPr="007B44CF">
        <w:t>If awardees are successful in other funding applications that will cover the same cost elements only 1 scholarship may be accepted.</w:t>
      </w:r>
    </w:p>
    <w:p w14:paraId="6020C979" w14:textId="77777777" w:rsidR="000F536F" w:rsidRDefault="000F536F" w:rsidP="00AB03F5">
      <w:pPr>
        <w:spacing w:after="0"/>
        <w:rPr>
          <w:b/>
          <w:bCs/>
          <w:sz w:val="24"/>
          <w:szCs w:val="24"/>
        </w:rPr>
      </w:pPr>
    </w:p>
    <w:p w14:paraId="18537208" w14:textId="1DEB1F69" w:rsidR="007B44CF" w:rsidRDefault="007B44CF" w:rsidP="00AB03F5">
      <w:pPr>
        <w:spacing w:after="0"/>
        <w:rPr>
          <w:b/>
          <w:bCs/>
          <w:sz w:val="24"/>
          <w:szCs w:val="24"/>
        </w:rPr>
      </w:pPr>
      <w:r w:rsidRPr="00A21349">
        <w:rPr>
          <w:b/>
          <w:bCs/>
          <w:sz w:val="24"/>
          <w:szCs w:val="24"/>
        </w:rPr>
        <w:t>Eligibility</w:t>
      </w:r>
    </w:p>
    <w:p w14:paraId="544A6C8E" w14:textId="77777777" w:rsidR="007B44CF" w:rsidRPr="007B44CF" w:rsidRDefault="007B44CF" w:rsidP="007B44CF">
      <w:r w:rsidRPr="007B44CF">
        <w:t xml:space="preserve">Please read the following eligibility criteria carefully. Applicants must meet </w:t>
      </w:r>
      <w:proofErr w:type="gramStart"/>
      <w:r w:rsidRPr="007B44CF">
        <w:t>all of</w:t>
      </w:r>
      <w:proofErr w:type="gramEnd"/>
      <w:r w:rsidRPr="007B44CF">
        <w:t xml:space="preserve"> the conditions outlined.</w:t>
      </w:r>
    </w:p>
    <w:tbl>
      <w:tblPr>
        <w:tblW w:w="10483" w:type="dxa"/>
        <w:tblInd w:w="-735" w:type="dxa"/>
        <w:tblLook w:val="04A0" w:firstRow="1" w:lastRow="0" w:firstColumn="1" w:lastColumn="0" w:noHBand="0" w:noVBand="1"/>
      </w:tblPr>
      <w:tblGrid>
        <w:gridCol w:w="1878"/>
        <w:gridCol w:w="1400"/>
        <w:gridCol w:w="1236"/>
        <w:gridCol w:w="1095"/>
        <w:gridCol w:w="1110"/>
        <w:gridCol w:w="1379"/>
        <w:gridCol w:w="969"/>
        <w:gridCol w:w="1416"/>
      </w:tblGrid>
      <w:tr w:rsidR="00315B9F" w:rsidRPr="00315B9F" w14:paraId="1FF52888" w14:textId="77777777" w:rsidTr="00315B9F">
        <w:trPr>
          <w:trHeight w:val="1104"/>
        </w:trPr>
        <w:tc>
          <w:tcPr>
            <w:tcW w:w="187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2AD017D7"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Travel Scholarship</w:t>
            </w:r>
          </w:p>
        </w:tc>
        <w:tc>
          <w:tcPr>
            <w:tcW w:w="1400" w:type="dxa"/>
            <w:tcBorders>
              <w:top w:val="single" w:sz="4" w:space="0" w:color="auto"/>
              <w:left w:val="nil"/>
              <w:bottom w:val="single" w:sz="4" w:space="0" w:color="auto"/>
              <w:right w:val="single" w:sz="4" w:space="0" w:color="auto"/>
            </w:tcBorders>
            <w:shd w:val="clear" w:color="000000" w:fill="8EA9DB"/>
            <w:vAlign w:val="center"/>
            <w:hideMark/>
          </w:tcPr>
          <w:p w14:paraId="0C2F502D"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University Registration</w:t>
            </w:r>
          </w:p>
        </w:tc>
        <w:tc>
          <w:tcPr>
            <w:tcW w:w="1236" w:type="dxa"/>
            <w:tcBorders>
              <w:top w:val="single" w:sz="4" w:space="0" w:color="auto"/>
              <w:left w:val="nil"/>
              <w:bottom w:val="single" w:sz="4" w:space="0" w:color="auto"/>
              <w:right w:val="single" w:sz="4" w:space="0" w:color="auto"/>
            </w:tcBorders>
            <w:shd w:val="clear" w:color="000000" w:fill="8EA9DB"/>
            <w:vAlign w:val="center"/>
            <w:hideMark/>
          </w:tcPr>
          <w:p w14:paraId="0E238340"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Award Value</w:t>
            </w:r>
          </w:p>
        </w:tc>
        <w:tc>
          <w:tcPr>
            <w:tcW w:w="1095" w:type="dxa"/>
            <w:tcBorders>
              <w:top w:val="single" w:sz="4" w:space="0" w:color="auto"/>
              <w:left w:val="nil"/>
              <w:bottom w:val="single" w:sz="4" w:space="0" w:color="auto"/>
              <w:right w:val="single" w:sz="4" w:space="0" w:color="auto"/>
            </w:tcBorders>
            <w:shd w:val="clear" w:color="000000" w:fill="8EA9DB"/>
            <w:vAlign w:val="center"/>
            <w:hideMark/>
          </w:tcPr>
          <w:p w14:paraId="036EEADF"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proofErr w:type="spellStart"/>
            <w:r w:rsidRPr="00315B9F">
              <w:rPr>
                <w:rFonts w:ascii="Calibri" w:eastAsia="Times New Roman" w:hAnsi="Calibri" w:cs="Calibri"/>
                <w:b/>
                <w:bCs/>
                <w:color w:val="FFFFFF" w:themeColor="background1"/>
                <w:sz w:val="20"/>
                <w:szCs w:val="20"/>
              </w:rPr>
              <w:t>MRes</w:t>
            </w:r>
            <w:proofErr w:type="spellEnd"/>
            <w:r w:rsidRPr="00315B9F">
              <w:rPr>
                <w:rFonts w:ascii="Calibri" w:eastAsia="Times New Roman" w:hAnsi="Calibri" w:cs="Calibri"/>
                <w:b/>
                <w:bCs/>
                <w:color w:val="FFFFFF" w:themeColor="background1"/>
                <w:sz w:val="20"/>
                <w:szCs w:val="20"/>
              </w:rPr>
              <w:t>/</w:t>
            </w:r>
            <w:r w:rsidRPr="00315B9F">
              <w:rPr>
                <w:rFonts w:ascii="Calibri" w:eastAsia="Times New Roman" w:hAnsi="Calibri" w:cs="Calibri"/>
                <w:b/>
                <w:bCs/>
                <w:color w:val="FFFFFF" w:themeColor="background1"/>
                <w:sz w:val="20"/>
                <w:szCs w:val="20"/>
              </w:rPr>
              <w:br/>
              <w:t>MPhil/ MSc(R)</w:t>
            </w:r>
          </w:p>
        </w:tc>
        <w:tc>
          <w:tcPr>
            <w:tcW w:w="1110" w:type="dxa"/>
            <w:tcBorders>
              <w:top w:val="single" w:sz="4" w:space="0" w:color="auto"/>
              <w:left w:val="nil"/>
              <w:bottom w:val="single" w:sz="4" w:space="0" w:color="auto"/>
              <w:right w:val="single" w:sz="4" w:space="0" w:color="auto"/>
            </w:tcBorders>
            <w:shd w:val="clear" w:color="000000" w:fill="8EA9DB"/>
            <w:vAlign w:val="center"/>
            <w:hideMark/>
          </w:tcPr>
          <w:p w14:paraId="51351E77" w14:textId="77777777" w:rsidR="00315B9F" w:rsidRPr="00315B9F" w:rsidRDefault="00315B9F" w:rsidP="00315B9F">
            <w:pPr>
              <w:spacing w:after="0" w:line="240" w:lineRule="auto"/>
              <w:jc w:val="center"/>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 xml:space="preserve">PhD </w:t>
            </w:r>
            <w:r w:rsidRPr="00315B9F">
              <w:rPr>
                <w:rFonts w:ascii="Calibri" w:eastAsia="Times New Roman" w:hAnsi="Calibri" w:cs="Calibri"/>
                <w:b/>
                <w:bCs/>
                <w:color w:val="FFFFFF" w:themeColor="background1"/>
                <w:sz w:val="20"/>
                <w:szCs w:val="20"/>
              </w:rPr>
              <w:br/>
              <w:t>(or similar doctoral degrees)</w:t>
            </w:r>
          </w:p>
        </w:tc>
        <w:tc>
          <w:tcPr>
            <w:tcW w:w="1379" w:type="dxa"/>
            <w:tcBorders>
              <w:top w:val="single" w:sz="4" w:space="0" w:color="auto"/>
              <w:left w:val="nil"/>
              <w:bottom w:val="single" w:sz="4" w:space="0" w:color="auto"/>
              <w:right w:val="single" w:sz="4" w:space="0" w:color="auto"/>
            </w:tcBorders>
            <w:shd w:val="clear" w:color="000000" w:fill="8EA9DB"/>
            <w:vAlign w:val="center"/>
            <w:hideMark/>
          </w:tcPr>
          <w:p w14:paraId="7DDE9092"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Academic Discipline</w:t>
            </w:r>
          </w:p>
        </w:tc>
        <w:tc>
          <w:tcPr>
            <w:tcW w:w="969" w:type="dxa"/>
            <w:tcBorders>
              <w:top w:val="single" w:sz="4" w:space="0" w:color="auto"/>
              <w:left w:val="nil"/>
              <w:bottom w:val="single" w:sz="4" w:space="0" w:color="auto"/>
              <w:right w:val="single" w:sz="4" w:space="0" w:color="auto"/>
            </w:tcBorders>
            <w:shd w:val="clear" w:color="000000" w:fill="8EA9DB"/>
            <w:vAlign w:val="center"/>
            <w:hideMark/>
          </w:tcPr>
          <w:p w14:paraId="5E5D2CF8"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Length of trip</w:t>
            </w:r>
          </w:p>
        </w:tc>
        <w:tc>
          <w:tcPr>
            <w:tcW w:w="1416" w:type="dxa"/>
            <w:tcBorders>
              <w:top w:val="single" w:sz="4" w:space="0" w:color="auto"/>
              <w:left w:val="nil"/>
              <w:bottom w:val="single" w:sz="4" w:space="0" w:color="auto"/>
              <w:right w:val="single" w:sz="4" w:space="0" w:color="auto"/>
            </w:tcBorders>
            <w:shd w:val="clear" w:color="000000" w:fill="8EA9DB"/>
            <w:vAlign w:val="center"/>
            <w:hideMark/>
          </w:tcPr>
          <w:p w14:paraId="379310B8" w14:textId="77777777" w:rsidR="00315B9F" w:rsidRPr="00315B9F" w:rsidRDefault="00315B9F" w:rsidP="00315B9F">
            <w:pPr>
              <w:spacing w:after="0" w:line="240" w:lineRule="auto"/>
              <w:rPr>
                <w:rFonts w:ascii="Calibri" w:eastAsia="Times New Roman" w:hAnsi="Calibri" w:cs="Calibri"/>
                <w:b/>
                <w:bCs/>
                <w:color w:val="FFFFFF" w:themeColor="background1"/>
                <w:sz w:val="20"/>
                <w:szCs w:val="20"/>
              </w:rPr>
            </w:pPr>
            <w:r w:rsidRPr="00315B9F">
              <w:rPr>
                <w:rFonts w:ascii="Calibri" w:eastAsia="Times New Roman" w:hAnsi="Calibri" w:cs="Calibri"/>
                <w:b/>
                <w:bCs/>
                <w:color w:val="FFFFFF" w:themeColor="background1"/>
                <w:sz w:val="20"/>
                <w:szCs w:val="20"/>
              </w:rPr>
              <w:t>Location</w:t>
            </w:r>
          </w:p>
        </w:tc>
      </w:tr>
      <w:tr w:rsidR="00315B9F" w:rsidRPr="00315B9F" w14:paraId="4CB4023D" w14:textId="77777777" w:rsidTr="00315B9F">
        <w:trPr>
          <w:trHeight w:val="552"/>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1B209A0A" w14:textId="77777777" w:rsidR="00315B9F" w:rsidRPr="00315B9F" w:rsidRDefault="00315B9F" w:rsidP="00315B9F">
            <w:pPr>
              <w:spacing w:after="0" w:line="240" w:lineRule="auto"/>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David Fleming-Brown</w:t>
            </w:r>
          </w:p>
        </w:tc>
        <w:tc>
          <w:tcPr>
            <w:tcW w:w="1400" w:type="dxa"/>
            <w:tcBorders>
              <w:top w:val="nil"/>
              <w:left w:val="nil"/>
              <w:bottom w:val="single" w:sz="4" w:space="0" w:color="auto"/>
              <w:right w:val="single" w:sz="4" w:space="0" w:color="auto"/>
            </w:tcBorders>
            <w:shd w:val="clear" w:color="auto" w:fill="auto"/>
            <w:vAlign w:val="center"/>
            <w:hideMark/>
          </w:tcPr>
          <w:p w14:paraId="4CC220B0" w14:textId="77777777" w:rsidR="00315B9F" w:rsidRPr="00315B9F" w:rsidRDefault="00315B9F" w:rsidP="00315B9F">
            <w:pPr>
              <w:spacing w:after="0" w:line="240" w:lineRule="auto"/>
              <w:jc w:val="both"/>
              <w:rPr>
                <w:rFonts w:ascii="Calibri" w:eastAsia="Times New Roman" w:hAnsi="Calibri" w:cs="Calibri"/>
                <w:color w:val="000000"/>
                <w:sz w:val="20"/>
                <w:szCs w:val="20"/>
              </w:rPr>
            </w:pPr>
            <w:r w:rsidRPr="00315B9F">
              <w:rPr>
                <w:rFonts w:ascii="Calibri" w:eastAsia="Times New Roman" w:hAnsi="Calibri" w:cs="Calibri"/>
                <w:color w:val="000000"/>
                <w:sz w:val="20"/>
                <w:szCs w:val="20"/>
              </w:rPr>
              <w:t>Glasgow only</w:t>
            </w:r>
          </w:p>
        </w:tc>
        <w:tc>
          <w:tcPr>
            <w:tcW w:w="1236" w:type="dxa"/>
            <w:tcBorders>
              <w:top w:val="nil"/>
              <w:left w:val="nil"/>
              <w:bottom w:val="single" w:sz="4" w:space="0" w:color="auto"/>
              <w:right w:val="single" w:sz="4" w:space="0" w:color="auto"/>
            </w:tcBorders>
            <w:shd w:val="clear" w:color="auto" w:fill="auto"/>
            <w:vAlign w:val="center"/>
            <w:hideMark/>
          </w:tcPr>
          <w:p w14:paraId="4E6CDC79" w14:textId="77777777" w:rsidR="00315B9F" w:rsidRPr="00315B9F" w:rsidRDefault="00315B9F" w:rsidP="00315B9F">
            <w:pPr>
              <w:spacing w:after="0" w:line="240" w:lineRule="auto"/>
              <w:rPr>
                <w:rFonts w:ascii="Calibri" w:eastAsia="Times New Roman" w:hAnsi="Calibri" w:cs="Calibri"/>
                <w:color w:val="000000"/>
                <w:sz w:val="20"/>
                <w:szCs w:val="20"/>
              </w:rPr>
            </w:pPr>
            <w:r w:rsidRPr="00315B9F">
              <w:rPr>
                <w:rFonts w:ascii="Calibri" w:eastAsia="Times New Roman" w:hAnsi="Calibri" w:cs="Calibri"/>
                <w:color w:val="000000"/>
                <w:sz w:val="20"/>
                <w:szCs w:val="20"/>
              </w:rPr>
              <w:t>Up to £400</w:t>
            </w:r>
          </w:p>
        </w:tc>
        <w:tc>
          <w:tcPr>
            <w:tcW w:w="1095" w:type="dxa"/>
            <w:tcBorders>
              <w:top w:val="nil"/>
              <w:left w:val="nil"/>
              <w:bottom w:val="single" w:sz="4" w:space="0" w:color="auto"/>
              <w:right w:val="single" w:sz="4" w:space="0" w:color="auto"/>
            </w:tcBorders>
            <w:shd w:val="clear" w:color="auto" w:fill="auto"/>
            <w:vAlign w:val="center"/>
            <w:hideMark/>
          </w:tcPr>
          <w:p w14:paraId="4152F44F"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110" w:type="dxa"/>
            <w:tcBorders>
              <w:top w:val="nil"/>
              <w:left w:val="nil"/>
              <w:bottom w:val="single" w:sz="4" w:space="0" w:color="auto"/>
              <w:right w:val="single" w:sz="4" w:space="0" w:color="auto"/>
            </w:tcBorders>
            <w:shd w:val="clear" w:color="auto" w:fill="auto"/>
            <w:vAlign w:val="center"/>
            <w:hideMark/>
          </w:tcPr>
          <w:p w14:paraId="26735930"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379" w:type="dxa"/>
            <w:tcBorders>
              <w:top w:val="nil"/>
              <w:left w:val="nil"/>
              <w:bottom w:val="single" w:sz="4" w:space="0" w:color="auto"/>
              <w:right w:val="single" w:sz="4" w:space="0" w:color="auto"/>
            </w:tcBorders>
            <w:shd w:val="clear" w:color="auto" w:fill="auto"/>
            <w:vAlign w:val="center"/>
            <w:hideMark/>
          </w:tcPr>
          <w:p w14:paraId="32313BCA" w14:textId="77777777" w:rsidR="00315B9F" w:rsidRPr="00315B9F" w:rsidRDefault="00315B9F" w:rsidP="00315B9F">
            <w:pPr>
              <w:spacing w:after="0" w:line="240" w:lineRule="auto"/>
              <w:jc w:val="center"/>
              <w:rPr>
                <w:rFonts w:ascii="Calibri" w:eastAsia="Times New Roman" w:hAnsi="Calibri" w:cs="Calibri"/>
                <w:color w:val="000000"/>
                <w:sz w:val="20"/>
                <w:szCs w:val="20"/>
              </w:rPr>
            </w:pPr>
            <w:r w:rsidRPr="00315B9F">
              <w:rPr>
                <w:rFonts w:ascii="Calibri" w:eastAsia="Times New Roman" w:hAnsi="Calibri" w:cs="Calibri"/>
                <w:color w:val="000000"/>
                <w:sz w:val="20"/>
                <w:szCs w:val="20"/>
              </w:rPr>
              <w:t>All</w:t>
            </w:r>
          </w:p>
        </w:tc>
        <w:tc>
          <w:tcPr>
            <w:tcW w:w="969" w:type="dxa"/>
            <w:tcBorders>
              <w:top w:val="nil"/>
              <w:left w:val="nil"/>
              <w:bottom w:val="single" w:sz="4" w:space="0" w:color="auto"/>
              <w:right w:val="single" w:sz="4" w:space="0" w:color="auto"/>
            </w:tcBorders>
            <w:shd w:val="clear" w:color="auto" w:fill="auto"/>
            <w:vAlign w:val="center"/>
            <w:hideMark/>
          </w:tcPr>
          <w:p w14:paraId="25CF7473" w14:textId="77777777" w:rsidR="00315B9F" w:rsidRPr="00315B9F" w:rsidRDefault="00315B9F" w:rsidP="00315B9F">
            <w:pPr>
              <w:spacing w:after="0" w:line="240" w:lineRule="auto"/>
              <w:jc w:val="center"/>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N/A</w:t>
            </w:r>
          </w:p>
        </w:tc>
        <w:tc>
          <w:tcPr>
            <w:tcW w:w="1416" w:type="dxa"/>
            <w:tcBorders>
              <w:top w:val="nil"/>
              <w:left w:val="nil"/>
              <w:bottom w:val="single" w:sz="4" w:space="0" w:color="auto"/>
              <w:right w:val="single" w:sz="4" w:space="0" w:color="auto"/>
            </w:tcBorders>
            <w:shd w:val="clear" w:color="auto" w:fill="auto"/>
            <w:vAlign w:val="center"/>
            <w:hideMark/>
          </w:tcPr>
          <w:p w14:paraId="22B31EDE" w14:textId="77777777" w:rsidR="00315B9F" w:rsidRPr="00315B9F" w:rsidRDefault="00315B9F" w:rsidP="00315B9F">
            <w:pPr>
              <w:spacing w:after="0" w:line="240" w:lineRule="auto"/>
              <w:jc w:val="center"/>
              <w:rPr>
                <w:rFonts w:ascii="Calibri" w:eastAsia="Times New Roman" w:hAnsi="Calibri" w:cs="Calibri"/>
                <w:color w:val="000000"/>
                <w:sz w:val="20"/>
                <w:szCs w:val="20"/>
              </w:rPr>
            </w:pPr>
            <w:r w:rsidRPr="00315B9F">
              <w:rPr>
                <w:rFonts w:ascii="Calibri" w:eastAsia="Times New Roman" w:hAnsi="Calibri" w:cs="Calibri"/>
                <w:color w:val="000000"/>
                <w:sz w:val="20"/>
                <w:szCs w:val="20"/>
              </w:rPr>
              <w:t>North America</w:t>
            </w:r>
          </w:p>
        </w:tc>
      </w:tr>
      <w:tr w:rsidR="00315B9F" w:rsidRPr="00315B9F" w14:paraId="35118731" w14:textId="77777777" w:rsidTr="00315B9F">
        <w:trPr>
          <w:trHeight w:val="3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30C6C4F7" w14:textId="77777777" w:rsidR="00315B9F" w:rsidRPr="00315B9F" w:rsidRDefault="00315B9F" w:rsidP="00315B9F">
            <w:pPr>
              <w:spacing w:after="0" w:line="240" w:lineRule="auto"/>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Mac Robertson</w:t>
            </w:r>
          </w:p>
        </w:tc>
        <w:tc>
          <w:tcPr>
            <w:tcW w:w="1400" w:type="dxa"/>
            <w:tcBorders>
              <w:top w:val="nil"/>
              <w:left w:val="nil"/>
              <w:bottom w:val="single" w:sz="4" w:space="0" w:color="auto"/>
              <w:right w:val="single" w:sz="4" w:space="0" w:color="auto"/>
            </w:tcBorders>
            <w:shd w:val="clear" w:color="auto" w:fill="auto"/>
            <w:vAlign w:val="center"/>
            <w:hideMark/>
          </w:tcPr>
          <w:p w14:paraId="547EF34C" w14:textId="77777777" w:rsidR="00315B9F" w:rsidRPr="00315B9F" w:rsidRDefault="00315B9F" w:rsidP="00315B9F">
            <w:pPr>
              <w:spacing w:after="0" w:line="240" w:lineRule="auto"/>
              <w:jc w:val="both"/>
              <w:rPr>
                <w:rFonts w:ascii="Calibri" w:eastAsia="Times New Roman" w:hAnsi="Calibri" w:cs="Calibri"/>
                <w:color w:val="000000"/>
                <w:sz w:val="20"/>
                <w:szCs w:val="20"/>
              </w:rPr>
            </w:pPr>
            <w:r w:rsidRPr="00315B9F">
              <w:rPr>
                <w:rFonts w:ascii="Calibri" w:eastAsia="Times New Roman" w:hAnsi="Calibri" w:cs="Calibri"/>
                <w:color w:val="000000"/>
                <w:sz w:val="20"/>
                <w:szCs w:val="20"/>
              </w:rPr>
              <w:t>Glasgow/ Strathclyde</w:t>
            </w:r>
          </w:p>
        </w:tc>
        <w:tc>
          <w:tcPr>
            <w:tcW w:w="1236" w:type="dxa"/>
            <w:tcBorders>
              <w:top w:val="nil"/>
              <w:left w:val="nil"/>
              <w:bottom w:val="single" w:sz="4" w:space="0" w:color="auto"/>
              <w:right w:val="single" w:sz="4" w:space="0" w:color="auto"/>
            </w:tcBorders>
            <w:shd w:val="clear" w:color="auto" w:fill="auto"/>
            <w:vAlign w:val="center"/>
            <w:hideMark/>
          </w:tcPr>
          <w:p w14:paraId="254893F6" w14:textId="44A10236" w:rsidR="00315B9F" w:rsidRPr="00C53E45" w:rsidRDefault="00315B9F" w:rsidP="00315B9F">
            <w:pPr>
              <w:spacing w:after="0" w:line="240" w:lineRule="auto"/>
              <w:rPr>
                <w:rFonts w:ascii="Calibri" w:eastAsia="Times New Roman" w:hAnsi="Calibri" w:cs="Calibri"/>
                <w:color w:val="000000"/>
                <w:sz w:val="20"/>
                <w:szCs w:val="20"/>
                <w:highlight w:val="yellow"/>
              </w:rPr>
            </w:pPr>
            <w:r w:rsidRPr="006B1F39">
              <w:rPr>
                <w:rFonts w:ascii="Calibri" w:eastAsia="Times New Roman" w:hAnsi="Calibri" w:cs="Calibri"/>
                <w:color w:val="000000"/>
                <w:sz w:val="20"/>
                <w:szCs w:val="20"/>
              </w:rPr>
              <w:t>Up to £</w:t>
            </w:r>
            <w:r w:rsidR="00C53E45" w:rsidRPr="006B1F39">
              <w:rPr>
                <w:rFonts w:ascii="Calibri" w:eastAsia="Times New Roman" w:hAnsi="Calibri" w:cs="Calibri"/>
                <w:color w:val="000000"/>
                <w:sz w:val="20"/>
                <w:szCs w:val="20"/>
              </w:rPr>
              <w:t>5</w:t>
            </w:r>
            <w:r w:rsidRPr="006B1F39">
              <w:rPr>
                <w:rFonts w:ascii="Calibri" w:eastAsia="Times New Roman" w:hAnsi="Calibri" w:cs="Calibri"/>
                <w:color w:val="000000"/>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14:paraId="6C6106AD"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110" w:type="dxa"/>
            <w:tcBorders>
              <w:top w:val="nil"/>
              <w:left w:val="nil"/>
              <w:bottom w:val="single" w:sz="4" w:space="0" w:color="auto"/>
              <w:right w:val="single" w:sz="4" w:space="0" w:color="auto"/>
            </w:tcBorders>
            <w:shd w:val="clear" w:color="auto" w:fill="auto"/>
            <w:vAlign w:val="center"/>
            <w:hideMark/>
          </w:tcPr>
          <w:p w14:paraId="614A1188"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379" w:type="dxa"/>
            <w:tcBorders>
              <w:top w:val="nil"/>
              <w:left w:val="nil"/>
              <w:bottom w:val="single" w:sz="4" w:space="0" w:color="auto"/>
              <w:right w:val="single" w:sz="4" w:space="0" w:color="auto"/>
            </w:tcBorders>
            <w:shd w:val="clear" w:color="auto" w:fill="auto"/>
            <w:vAlign w:val="center"/>
            <w:hideMark/>
          </w:tcPr>
          <w:p w14:paraId="718F83D1" w14:textId="77777777" w:rsidR="00315B9F" w:rsidRPr="00315B9F" w:rsidRDefault="00315B9F" w:rsidP="00315B9F">
            <w:pPr>
              <w:spacing w:after="0" w:line="240" w:lineRule="auto"/>
              <w:jc w:val="center"/>
              <w:rPr>
                <w:rFonts w:ascii="Calibri" w:eastAsia="Times New Roman" w:hAnsi="Calibri" w:cs="Calibri"/>
                <w:color w:val="000000"/>
                <w:sz w:val="20"/>
                <w:szCs w:val="20"/>
              </w:rPr>
            </w:pPr>
            <w:r w:rsidRPr="00315B9F">
              <w:rPr>
                <w:rFonts w:ascii="Calibri" w:eastAsia="Times New Roman" w:hAnsi="Calibri" w:cs="Calibri"/>
                <w:color w:val="000000"/>
                <w:sz w:val="20"/>
                <w:szCs w:val="20"/>
              </w:rPr>
              <w:t>All</w:t>
            </w:r>
          </w:p>
        </w:tc>
        <w:tc>
          <w:tcPr>
            <w:tcW w:w="969" w:type="dxa"/>
            <w:tcBorders>
              <w:top w:val="nil"/>
              <w:left w:val="nil"/>
              <w:bottom w:val="single" w:sz="4" w:space="0" w:color="auto"/>
              <w:right w:val="single" w:sz="4" w:space="0" w:color="auto"/>
            </w:tcBorders>
            <w:shd w:val="clear" w:color="auto" w:fill="auto"/>
            <w:vAlign w:val="center"/>
            <w:hideMark/>
          </w:tcPr>
          <w:p w14:paraId="29C0DAF8" w14:textId="77777777" w:rsidR="00315B9F" w:rsidRPr="00315B9F" w:rsidRDefault="00315B9F" w:rsidP="00315B9F">
            <w:pPr>
              <w:spacing w:after="0" w:line="240" w:lineRule="auto"/>
              <w:jc w:val="center"/>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2-12 months</w:t>
            </w:r>
          </w:p>
        </w:tc>
        <w:tc>
          <w:tcPr>
            <w:tcW w:w="1416" w:type="dxa"/>
            <w:tcBorders>
              <w:top w:val="nil"/>
              <w:left w:val="nil"/>
              <w:bottom w:val="single" w:sz="4" w:space="0" w:color="auto"/>
              <w:right w:val="single" w:sz="4" w:space="0" w:color="auto"/>
            </w:tcBorders>
            <w:shd w:val="clear" w:color="auto" w:fill="auto"/>
            <w:vAlign w:val="center"/>
            <w:hideMark/>
          </w:tcPr>
          <w:p w14:paraId="669D2140" w14:textId="77777777" w:rsidR="00315B9F" w:rsidRPr="00315B9F" w:rsidRDefault="00315B9F" w:rsidP="00315B9F">
            <w:pPr>
              <w:spacing w:after="0" w:line="240" w:lineRule="auto"/>
              <w:jc w:val="center"/>
              <w:rPr>
                <w:rFonts w:ascii="Calibri" w:eastAsia="Times New Roman" w:hAnsi="Calibri" w:cs="Calibri"/>
                <w:color w:val="000000"/>
                <w:sz w:val="20"/>
                <w:szCs w:val="20"/>
              </w:rPr>
            </w:pPr>
            <w:r w:rsidRPr="00315B9F">
              <w:rPr>
                <w:rFonts w:ascii="Calibri" w:eastAsia="Times New Roman" w:hAnsi="Calibri" w:cs="Calibri"/>
                <w:color w:val="000000"/>
                <w:sz w:val="20"/>
                <w:szCs w:val="20"/>
              </w:rPr>
              <w:t>Worldwide</w:t>
            </w:r>
          </w:p>
        </w:tc>
      </w:tr>
      <w:tr w:rsidR="00315B9F" w:rsidRPr="00315B9F" w14:paraId="48DC512B" w14:textId="77777777" w:rsidTr="00315B9F">
        <w:trPr>
          <w:trHeight w:val="552"/>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7C7C2EB3" w14:textId="77777777" w:rsidR="00315B9F" w:rsidRPr="00315B9F" w:rsidRDefault="00315B9F" w:rsidP="00315B9F">
            <w:pPr>
              <w:spacing w:after="0" w:line="240" w:lineRule="auto"/>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Jim Gatheral</w:t>
            </w:r>
          </w:p>
        </w:tc>
        <w:tc>
          <w:tcPr>
            <w:tcW w:w="1400" w:type="dxa"/>
            <w:tcBorders>
              <w:top w:val="nil"/>
              <w:left w:val="nil"/>
              <w:bottom w:val="single" w:sz="4" w:space="0" w:color="auto"/>
              <w:right w:val="single" w:sz="4" w:space="0" w:color="auto"/>
            </w:tcBorders>
            <w:shd w:val="clear" w:color="auto" w:fill="auto"/>
            <w:vAlign w:val="center"/>
            <w:hideMark/>
          </w:tcPr>
          <w:p w14:paraId="4318894E" w14:textId="77777777" w:rsidR="00315B9F" w:rsidRPr="00315B9F" w:rsidRDefault="00315B9F" w:rsidP="00315B9F">
            <w:pPr>
              <w:spacing w:after="0" w:line="240" w:lineRule="auto"/>
              <w:jc w:val="both"/>
              <w:rPr>
                <w:rFonts w:ascii="Calibri" w:eastAsia="Times New Roman" w:hAnsi="Calibri" w:cs="Calibri"/>
                <w:color w:val="000000"/>
                <w:sz w:val="20"/>
                <w:szCs w:val="20"/>
              </w:rPr>
            </w:pPr>
            <w:r w:rsidRPr="00315B9F">
              <w:rPr>
                <w:rFonts w:ascii="Calibri" w:eastAsia="Times New Roman" w:hAnsi="Calibri" w:cs="Calibri"/>
                <w:color w:val="000000"/>
                <w:sz w:val="20"/>
                <w:szCs w:val="20"/>
              </w:rPr>
              <w:t>Glasgow only</w:t>
            </w:r>
          </w:p>
        </w:tc>
        <w:tc>
          <w:tcPr>
            <w:tcW w:w="1236" w:type="dxa"/>
            <w:tcBorders>
              <w:top w:val="nil"/>
              <w:left w:val="nil"/>
              <w:bottom w:val="single" w:sz="4" w:space="0" w:color="auto"/>
              <w:right w:val="single" w:sz="4" w:space="0" w:color="auto"/>
            </w:tcBorders>
            <w:shd w:val="clear" w:color="auto" w:fill="auto"/>
            <w:vAlign w:val="center"/>
            <w:hideMark/>
          </w:tcPr>
          <w:p w14:paraId="1F584DFA" w14:textId="68CCC6E8" w:rsidR="00315B9F" w:rsidRPr="00C53E45" w:rsidRDefault="00315B9F" w:rsidP="00315B9F">
            <w:pPr>
              <w:spacing w:after="0" w:line="240" w:lineRule="auto"/>
              <w:rPr>
                <w:rFonts w:ascii="Calibri" w:eastAsia="Times New Roman" w:hAnsi="Calibri" w:cs="Calibri"/>
                <w:color w:val="000000"/>
                <w:sz w:val="20"/>
                <w:szCs w:val="20"/>
                <w:highlight w:val="yellow"/>
              </w:rPr>
            </w:pPr>
            <w:r w:rsidRPr="006B1F39">
              <w:rPr>
                <w:rFonts w:ascii="Calibri" w:eastAsia="Times New Roman" w:hAnsi="Calibri" w:cs="Calibri"/>
                <w:color w:val="000000"/>
                <w:sz w:val="20"/>
                <w:szCs w:val="20"/>
              </w:rPr>
              <w:t>Up to £</w:t>
            </w:r>
            <w:r w:rsidR="00C53E45" w:rsidRPr="006B1F39">
              <w:rPr>
                <w:rFonts w:ascii="Calibri" w:eastAsia="Times New Roman" w:hAnsi="Calibri" w:cs="Calibri"/>
                <w:color w:val="000000"/>
                <w:sz w:val="20"/>
                <w:szCs w:val="20"/>
              </w:rPr>
              <w:t>5</w:t>
            </w:r>
            <w:r w:rsidRPr="006B1F39">
              <w:rPr>
                <w:rFonts w:ascii="Calibri" w:eastAsia="Times New Roman" w:hAnsi="Calibri" w:cs="Calibri"/>
                <w:color w:val="000000"/>
                <w:sz w:val="20"/>
                <w:szCs w:val="20"/>
              </w:rPr>
              <w:t>000</w:t>
            </w:r>
          </w:p>
        </w:tc>
        <w:tc>
          <w:tcPr>
            <w:tcW w:w="1095" w:type="dxa"/>
            <w:tcBorders>
              <w:top w:val="nil"/>
              <w:left w:val="nil"/>
              <w:bottom w:val="single" w:sz="4" w:space="0" w:color="auto"/>
              <w:right w:val="single" w:sz="4" w:space="0" w:color="auto"/>
            </w:tcBorders>
            <w:shd w:val="clear" w:color="auto" w:fill="auto"/>
            <w:vAlign w:val="center"/>
            <w:hideMark/>
          </w:tcPr>
          <w:p w14:paraId="19B44517"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110" w:type="dxa"/>
            <w:tcBorders>
              <w:top w:val="nil"/>
              <w:left w:val="nil"/>
              <w:bottom w:val="single" w:sz="4" w:space="0" w:color="auto"/>
              <w:right w:val="single" w:sz="4" w:space="0" w:color="auto"/>
            </w:tcBorders>
            <w:shd w:val="clear" w:color="auto" w:fill="auto"/>
            <w:vAlign w:val="center"/>
            <w:hideMark/>
          </w:tcPr>
          <w:p w14:paraId="33CB51F5" w14:textId="77777777" w:rsidR="00315B9F" w:rsidRPr="00315B9F" w:rsidRDefault="00315B9F" w:rsidP="00315B9F">
            <w:pPr>
              <w:spacing w:after="0" w:line="240" w:lineRule="auto"/>
              <w:jc w:val="center"/>
              <w:rPr>
                <w:rFonts w:ascii="Segoe UI Symbol" w:eastAsia="Times New Roman" w:hAnsi="Segoe UI Symbol" w:cs="Calibri"/>
                <w:color w:val="333333"/>
                <w:sz w:val="20"/>
                <w:szCs w:val="20"/>
              </w:rPr>
            </w:pPr>
            <w:r w:rsidRPr="00315B9F">
              <w:rPr>
                <w:rFonts w:ascii="Segoe UI Symbol" w:eastAsia="Times New Roman" w:hAnsi="Segoe UI Symbol" w:cs="Calibri"/>
                <w:color w:val="333333"/>
                <w:sz w:val="20"/>
                <w:szCs w:val="20"/>
                <w:lang w:val="en"/>
              </w:rPr>
              <w:t>✓</w:t>
            </w:r>
          </w:p>
        </w:tc>
        <w:tc>
          <w:tcPr>
            <w:tcW w:w="1379" w:type="dxa"/>
            <w:tcBorders>
              <w:top w:val="nil"/>
              <w:left w:val="nil"/>
              <w:bottom w:val="single" w:sz="4" w:space="0" w:color="auto"/>
              <w:right w:val="single" w:sz="4" w:space="0" w:color="auto"/>
            </w:tcBorders>
            <w:shd w:val="clear" w:color="auto" w:fill="auto"/>
            <w:vAlign w:val="center"/>
            <w:hideMark/>
          </w:tcPr>
          <w:p w14:paraId="1A13EC3D" w14:textId="77777777" w:rsidR="00315B9F" w:rsidRPr="00315B9F" w:rsidRDefault="00315B9F" w:rsidP="00315B9F">
            <w:pPr>
              <w:spacing w:after="0" w:line="240" w:lineRule="auto"/>
              <w:jc w:val="center"/>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Mathematical modelling</w:t>
            </w:r>
          </w:p>
        </w:tc>
        <w:tc>
          <w:tcPr>
            <w:tcW w:w="969" w:type="dxa"/>
            <w:tcBorders>
              <w:top w:val="nil"/>
              <w:left w:val="nil"/>
              <w:bottom w:val="single" w:sz="4" w:space="0" w:color="auto"/>
              <w:right w:val="single" w:sz="4" w:space="0" w:color="auto"/>
            </w:tcBorders>
            <w:shd w:val="clear" w:color="auto" w:fill="auto"/>
            <w:vAlign w:val="center"/>
            <w:hideMark/>
          </w:tcPr>
          <w:p w14:paraId="095A9789" w14:textId="77777777" w:rsidR="00315B9F" w:rsidRPr="00315B9F" w:rsidRDefault="00315B9F" w:rsidP="00315B9F">
            <w:pPr>
              <w:spacing w:after="0" w:line="240" w:lineRule="auto"/>
              <w:jc w:val="center"/>
              <w:rPr>
                <w:rFonts w:ascii="Calibri" w:eastAsia="Times New Roman" w:hAnsi="Calibri" w:cs="Calibri"/>
                <w:b/>
                <w:bCs/>
                <w:color w:val="000000"/>
                <w:sz w:val="20"/>
                <w:szCs w:val="20"/>
              </w:rPr>
            </w:pPr>
            <w:r w:rsidRPr="00315B9F">
              <w:rPr>
                <w:rFonts w:ascii="Calibri" w:eastAsia="Times New Roman" w:hAnsi="Calibri" w:cs="Calibri"/>
                <w:b/>
                <w:bCs/>
                <w:color w:val="000000"/>
                <w:sz w:val="20"/>
                <w:szCs w:val="20"/>
              </w:rPr>
              <w:t>2-12 months</w:t>
            </w:r>
          </w:p>
        </w:tc>
        <w:tc>
          <w:tcPr>
            <w:tcW w:w="1416" w:type="dxa"/>
            <w:tcBorders>
              <w:top w:val="nil"/>
              <w:left w:val="nil"/>
              <w:bottom w:val="single" w:sz="4" w:space="0" w:color="auto"/>
              <w:right w:val="single" w:sz="4" w:space="0" w:color="auto"/>
            </w:tcBorders>
            <w:shd w:val="clear" w:color="auto" w:fill="auto"/>
            <w:vAlign w:val="center"/>
            <w:hideMark/>
          </w:tcPr>
          <w:p w14:paraId="73741F29" w14:textId="77777777" w:rsidR="00315B9F" w:rsidRPr="00315B9F" w:rsidRDefault="00315B9F" w:rsidP="00315B9F">
            <w:pPr>
              <w:spacing w:after="0" w:line="240" w:lineRule="auto"/>
              <w:jc w:val="center"/>
              <w:rPr>
                <w:rFonts w:ascii="Calibri" w:eastAsia="Times New Roman" w:hAnsi="Calibri" w:cs="Calibri"/>
                <w:color w:val="000000"/>
                <w:sz w:val="20"/>
                <w:szCs w:val="20"/>
              </w:rPr>
            </w:pPr>
            <w:r w:rsidRPr="00315B9F">
              <w:rPr>
                <w:rFonts w:ascii="Calibri" w:eastAsia="Times New Roman" w:hAnsi="Calibri" w:cs="Calibri"/>
                <w:color w:val="000000"/>
                <w:sz w:val="20"/>
                <w:szCs w:val="20"/>
              </w:rPr>
              <w:t>Worldwide</w:t>
            </w:r>
          </w:p>
        </w:tc>
      </w:tr>
    </w:tbl>
    <w:p w14:paraId="1358DF70"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The scholarships are open to all postgraduate research students </w:t>
      </w:r>
      <w:r w:rsidRPr="00BC38C2">
        <w:rPr>
          <w:rFonts w:ascii="Calibri" w:eastAsia="Times New Roman" w:hAnsi="Calibri" w:cs="Calibri"/>
          <w:b/>
          <w:bCs/>
          <w:color w:val="000000"/>
          <w:lang w:eastAsia="en-GB"/>
        </w:rPr>
        <w:t xml:space="preserve">(PhD, </w:t>
      </w:r>
      <w:proofErr w:type="spellStart"/>
      <w:r w:rsidRPr="00BC38C2">
        <w:rPr>
          <w:rFonts w:ascii="Calibri" w:eastAsia="Times New Roman" w:hAnsi="Calibri" w:cs="Calibri"/>
          <w:b/>
          <w:bCs/>
          <w:color w:val="000000"/>
          <w:lang w:eastAsia="en-GB"/>
        </w:rPr>
        <w:t>MRes</w:t>
      </w:r>
      <w:proofErr w:type="spellEnd"/>
      <w:r w:rsidRPr="00BC38C2">
        <w:rPr>
          <w:rFonts w:ascii="Calibri" w:eastAsia="Times New Roman" w:hAnsi="Calibri" w:cs="Calibri"/>
          <w:b/>
          <w:bCs/>
          <w:color w:val="000000"/>
          <w:lang w:eastAsia="en-GB"/>
        </w:rPr>
        <w:t>, MPhil, MSc by Research or similar)</w:t>
      </w:r>
      <w:r w:rsidRPr="00BC38C2">
        <w:rPr>
          <w:rFonts w:ascii="Calibri" w:eastAsia="Times New Roman" w:hAnsi="Calibri" w:cs="Calibri"/>
          <w:color w:val="000000"/>
          <w:lang w:eastAsia="en-GB"/>
        </w:rPr>
        <w:t> except the </w:t>
      </w:r>
      <w:r w:rsidRPr="00BC38C2">
        <w:rPr>
          <w:rFonts w:ascii="Calibri" w:eastAsia="Times New Roman" w:hAnsi="Calibri" w:cs="Calibri"/>
          <w:b/>
          <w:bCs/>
          <w:color w:val="000000"/>
          <w:lang w:eastAsia="en-GB"/>
        </w:rPr>
        <w:t>Jim Gatheral Travel Scholarship</w:t>
      </w:r>
      <w:r w:rsidRPr="00BC38C2">
        <w:rPr>
          <w:rFonts w:ascii="Calibri" w:eastAsia="Times New Roman" w:hAnsi="Calibri" w:cs="Calibri"/>
          <w:color w:val="000000"/>
          <w:lang w:eastAsia="en-GB"/>
        </w:rPr>
        <w:t> which is only open to </w:t>
      </w:r>
      <w:r w:rsidRPr="00BC38C2">
        <w:rPr>
          <w:rFonts w:ascii="Calibri" w:eastAsia="Times New Roman" w:hAnsi="Calibri" w:cs="Calibri"/>
          <w:b/>
          <w:bCs/>
          <w:color w:val="000000"/>
          <w:lang w:eastAsia="en-GB"/>
        </w:rPr>
        <w:t>PhD</w:t>
      </w:r>
      <w:r w:rsidRPr="00BC38C2">
        <w:rPr>
          <w:rFonts w:ascii="Calibri" w:eastAsia="Times New Roman" w:hAnsi="Calibri" w:cs="Calibri"/>
          <w:color w:val="000000"/>
          <w:lang w:eastAsia="en-GB"/>
        </w:rPr>
        <w:t> (or similar doctoral degrees) students.</w:t>
      </w:r>
    </w:p>
    <w:p w14:paraId="53807C2A"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 xml:space="preserve">The scholarships are open to students from all </w:t>
      </w:r>
      <w:proofErr w:type="gramStart"/>
      <w:r w:rsidRPr="00BC38C2">
        <w:rPr>
          <w:rFonts w:ascii="Calibri" w:eastAsia="Times New Roman" w:hAnsi="Calibri" w:cs="Calibri"/>
          <w:color w:val="000000"/>
          <w:lang w:eastAsia="en-GB"/>
        </w:rPr>
        <w:t>academics</w:t>
      </w:r>
      <w:proofErr w:type="gramEnd"/>
      <w:r w:rsidRPr="00BC38C2">
        <w:rPr>
          <w:rFonts w:ascii="Calibri" w:eastAsia="Times New Roman" w:hAnsi="Calibri" w:cs="Calibri"/>
          <w:color w:val="000000"/>
          <w:lang w:eastAsia="en-GB"/>
        </w:rPr>
        <w:t xml:space="preserve"> disciplines, however the </w:t>
      </w:r>
      <w:r w:rsidRPr="00BC38C2">
        <w:rPr>
          <w:rFonts w:ascii="Calibri" w:eastAsia="Times New Roman" w:hAnsi="Calibri" w:cs="Calibri"/>
          <w:b/>
          <w:bCs/>
          <w:color w:val="000000"/>
          <w:lang w:eastAsia="en-GB"/>
        </w:rPr>
        <w:t>Jim Gatheral Travel Scholarship</w:t>
      </w:r>
      <w:r w:rsidRPr="00BC38C2">
        <w:rPr>
          <w:rFonts w:ascii="Calibri" w:eastAsia="Times New Roman" w:hAnsi="Calibri" w:cs="Calibri"/>
          <w:color w:val="000000"/>
          <w:lang w:eastAsia="en-GB"/>
        </w:rPr>
        <w:t> is specifically for students to learn or develop new techniques in the field of </w:t>
      </w:r>
      <w:r w:rsidRPr="00BC38C2">
        <w:rPr>
          <w:rFonts w:ascii="Calibri" w:eastAsia="Times New Roman" w:hAnsi="Calibri" w:cs="Calibri"/>
          <w:b/>
          <w:bCs/>
          <w:color w:val="000000"/>
          <w:lang w:eastAsia="en-GB"/>
        </w:rPr>
        <w:t>mathematical modelling</w:t>
      </w:r>
      <w:r w:rsidRPr="00BC38C2">
        <w:rPr>
          <w:rFonts w:ascii="Calibri" w:eastAsia="Times New Roman" w:hAnsi="Calibri" w:cs="Calibri"/>
          <w:color w:val="000000"/>
          <w:lang w:eastAsia="en-GB"/>
        </w:rPr>
        <w:t>.</w:t>
      </w:r>
    </w:p>
    <w:p w14:paraId="0328451B"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 xml:space="preserve">Travel will not be funded within 6 months of starting or within 6 months prior to the applicant’s expected thesis submission date, with the exception of students completing a </w:t>
      </w:r>
      <w:proofErr w:type="gramStart"/>
      <w:r w:rsidRPr="00BC38C2">
        <w:rPr>
          <w:rFonts w:ascii="Calibri" w:eastAsia="Times New Roman" w:hAnsi="Calibri" w:cs="Calibri"/>
          <w:color w:val="000000"/>
          <w:lang w:eastAsia="en-GB"/>
        </w:rPr>
        <w:t>1 year</w:t>
      </w:r>
      <w:proofErr w:type="gramEnd"/>
      <w:r w:rsidRPr="00BC38C2">
        <w:rPr>
          <w:rFonts w:ascii="Calibri" w:eastAsia="Times New Roman" w:hAnsi="Calibri" w:cs="Calibri"/>
          <w:color w:val="000000"/>
          <w:lang w:eastAsia="en-GB"/>
        </w:rPr>
        <w:t xml:space="preserve"> </w:t>
      </w:r>
      <w:proofErr w:type="spellStart"/>
      <w:r w:rsidRPr="00BC38C2">
        <w:rPr>
          <w:rFonts w:ascii="Calibri" w:eastAsia="Times New Roman" w:hAnsi="Calibri" w:cs="Calibri"/>
          <w:color w:val="000000"/>
          <w:lang w:eastAsia="en-GB"/>
        </w:rPr>
        <w:t>Masters</w:t>
      </w:r>
      <w:proofErr w:type="spellEnd"/>
      <w:r w:rsidRPr="00BC38C2">
        <w:rPr>
          <w:rFonts w:ascii="Calibri" w:eastAsia="Times New Roman" w:hAnsi="Calibri" w:cs="Calibri"/>
          <w:color w:val="000000"/>
          <w:lang w:eastAsia="en-GB"/>
        </w:rPr>
        <w:t xml:space="preserve"> degree.</w:t>
      </w:r>
    </w:p>
    <w:p w14:paraId="3AEFDB39"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Students who have already submitted or will have submitted before or during the planned travel are ineligible to apply.</w:t>
      </w:r>
    </w:p>
    <w:p w14:paraId="1EB9FF51"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Minimum length of trip of all cases, except the David Fleming-Brown scholarship, is 2 months, with a maximum stay of 12 months.</w:t>
      </w:r>
    </w:p>
    <w:p w14:paraId="6084763A" w14:textId="77777777" w:rsidR="00BC38C2" w:rsidRPr="00BC38C2" w:rsidRDefault="00BC38C2" w:rsidP="00B26F16">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 xml:space="preserve">Students from the </w:t>
      </w:r>
      <w:r w:rsidRPr="00BC38C2">
        <w:rPr>
          <w:rFonts w:ascii="Calibri" w:eastAsia="Times New Roman" w:hAnsi="Calibri" w:cs="Calibri"/>
          <w:b/>
          <w:bCs/>
          <w:color w:val="000000"/>
          <w:lang w:eastAsia="en-GB"/>
        </w:rPr>
        <w:t>University of</w:t>
      </w:r>
      <w:r w:rsidRPr="00BC38C2">
        <w:rPr>
          <w:rFonts w:ascii="Calibri" w:eastAsia="Times New Roman" w:hAnsi="Calibri" w:cs="Calibri"/>
          <w:color w:val="000000"/>
          <w:lang w:eastAsia="en-GB"/>
        </w:rPr>
        <w:t xml:space="preserve"> </w:t>
      </w:r>
      <w:r w:rsidRPr="00BC38C2">
        <w:rPr>
          <w:rFonts w:ascii="Calibri" w:eastAsia="Times New Roman" w:hAnsi="Calibri" w:cs="Calibri"/>
          <w:b/>
          <w:bCs/>
          <w:color w:val="000000"/>
          <w:lang w:eastAsia="en-GB"/>
        </w:rPr>
        <w:t xml:space="preserve">Strathclyde </w:t>
      </w:r>
      <w:r w:rsidRPr="00BC38C2">
        <w:rPr>
          <w:rFonts w:ascii="Calibri" w:eastAsia="Times New Roman" w:hAnsi="Calibri" w:cs="Calibri"/>
          <w:color w:val="000000"/>
          <w:lang w:eastAsia="en-GB"/>
        </w:rPr>
        <w:t>are only eligible to apply for the </w:t>
      </w:r>
      <w:r w:rsidRPr="00BC38C2">
        <w:rPr>
          <w:rFonts w:ascii="Calibri" w:eastAsia="Times New Roman" w:hAnsi="Calibri" w:cs="Calibri"/>
          <w:b/>
          <w:bCs/>
          <w:color w:val="000000"/>
          <w:lang w:eastAsia="en-GB"/>
        </w:rPr>
        <w:t>Mac Robertson Travel Scholarship</w:t>
      </w:r>
      <w:r w:rsidRPr="00BC38C2">
        <w:rPr>
          <w:rFonts w:ascii="Calibri" w:eastAsia="Times New Roman" w:hAnsi="Calibri" w:cs="Calibri"/>
          <w:color w:val="000000"/>
          <w:lang w:eastAsia="en-GB"/>
        </w:rPr>
        <w:t>.</w:t>
      </w:r>
    </w:p>
    <w:p w14:paraId="68C14E05" w14:textId="77777777" w:rsidR="004C78A0" w:rsidRDefault="00BC38C2" w:rsidP="00FE64EA">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Applicants to the </w:t>
      </w:r>
      <w:r w:rsidRPr="00BC38C2">
        <w:rPr>
          <w:rFonts w:ascii="Calibri" w:eastAsia="Times New Roman" w:hAnsi="Calibri" w:cs="Calibri"/>
          <w:b/>
          <w:bCs/>
          <w:color w:val="000000"/>
          <w:lang w:eastAsia="en-GB"/>
        </w:rPr>
        <w:t>Mac Robertson Travel Scholarship</w:t>
      </w:r>
      <w:r w:rsidRPr="00BC38C2">
        <w:rPr>
          <w:rFonts w:ascii="Calibri" w:eastAsia="Times New Roman" w:hAnsi="Calibri" w:cs="Calibri"/>
          <w:color w:val="000000"/>
          <w:lang w:eastAsia="en-GB"/>
        </w:rPr>
        <w:t xml:space="preserve"> should show how their research is relevant both the University of Glasgow and University of Strathclyde and how it may contribute to further collaborative research between these two universities. </w:t>
      </w:r>
    </w:p>
    <w:p w14:paraId="0C5B78C8" w14:textId="0094D523" w:rsidR="00B26F16" w:rsidRDefault="00BC38C2" w:rsidP="00FE64EA">
      <w:pPr>
        <w:widowControl w:val="0"/>
        <w:numPr>
          <w:ilvl w:val="0"/>
          <w:numId w:val="10"/>
        </w:numPr>
        <w:tabs>
          <w:tab w:val="clear" w:pos="360"/>
          <w:tab w:val="num" w:pos="720"/>
        </w:tabs>
        <w:autoSpaceDE w:val="0"/>
        <w:autoSpaceDN w:val="0"/>
        <w:adjustRightInd w:val="0"/>
        <w:spacing w:before="120" w:after="0" w:line="240" w:lineRule="auto"/>
        <w:ind w:left="357" w:hanging="357"/>
        <w:rPr>
          <w:rFonts w:ascii="Calibri" w:eastAsia="Times New Roman" w:hAnsi="Calibri" w:cs="Calibri"/>
          <w:color w:val="000000"/>
          <w:lang w:eastAsia="en-GB"/>
        </w:rPr>
      </w:pPr>
      <w:r w:rsidRPr="00BC38C2">
        <w:rPr>
          <w:rFonts w:ascii="Calibri" w:eastAsia="Times New Roman" w:hAnsi="Calibri" w:cs="Calibri"/>
          <w:color w:val="000000"/>
          <w:lang w:eastAsia="en-GB"/>
        </w:rPr>
        <w:t>It should be made clear in your application how the intended trip will be </w:t>
      </w:r>
      <w:r w:rsidRPr="00BC38C2">
        <w:rPr>
          <w:rFonts w:ascii="Calibri" w:eastAsia="Times New Roman" w:hAnsi="Calibri" w:cs="Calibri"/>
          <w:b/>
          <w:bCs/>
          <w:color w:val="000000"/>
          <w:lang w:eastAsia="en-GB"/>
        </w:rPr>
        <w:t>additional to</w:t>
      </w:r>
      <w:r w:rsidRPr="00BC38C2">
        <w:rPr>
          <w:rFonts w:ascii="Calibri" w:eastAsia="Times New Roman" w:hAnsi="Calibri" w:cs="Calibri"/>
          <w:color w:val="000000"/>
          <w:lang w:eastAsia="en-GB"/>
        </w:rPr>
        <w:t> and not essential to the completion of the applicant's research degree.</w:t>
      </w:r>
    </w:p>
    <w:p w14:paraId="7CF6AD07" w14:textId="77777777" w:rsidR="00AF5E0F" w:rsidRPr="00BC38C2" w:rsidRDefault="00AF5E0F" w:rsidP="00FE64EA">
      <w:pPr>
        <w:widowControl w:val="0"/>
        <w:autoSpaceDE w:val="0"/>
        <w:autoSpaceDN w:val="0"/>
        <w:adjustRightInd w:val="0"/>
        <w:spacing w:after="0" w:line="240" w:lineRule="auto"/>
        <w:ind w:left="357"/>
        <w:rPr>
          <w:rFonts w:ascii="Calibri" w:eastAsia="Times New Roman" w:hAnsi="Calibri" w:cs="Calibri"/>
          <w:color w:val="000000"/>
          <w:lang w:eastAsia="en-GB"/>
        </w:rPr>
      </w:pPr>
    </w:p>
    <w:p w14:paraId="36430C72" w14:textId="2D175CFE" w:rsidR="007B44CF" w:rsidRPr="007B44CF" w:rsidRDefault="007B44CF" w:rsidP="007B44CF">
      <w:r w:rsidRPr="007B44CF">
        <w:rPr>
          <w:b/>
          <w:bCs/>
        </w:rPr>
        <w:t>Contact</w:t>
      </w:r>
      <w:r w:rsidRPr="007B44CF">
        <w:t> - All queries should be directed to </w:t>
      </w:r>
      <w:hyperlink r:id="rId17" w:history="1">
        <w:r w:rsidRPr="007B44CF">
          <w:rPr>
            <w:rStyle w:val="Hyperlink"/>
          </w:rPr>
          <w:t>pgr@glasgow.ac.uk</w:t>
        </w:r>
      </w:hyperlink>
    </w:p>
    <w:p w14:paraId="33A6DF2F" w14:textId="544A96D2" w:rsidR="0004710A" w:rsidRPr="0004710A" w:rsidRDefault="0004710A" w:rsidP="0004710A">
      <w:pPr>
        <w:rPr>
          <w:b/>
          <w:bCs/>
          <w:sz w:val="24"/>
          <w:szCs w:val="24"/>
        </w:rPr>
      </w:pPr>
      <w:r w:rsidRPr="0004710A">
        <w:rPr>
          <w:b/>
          <w:bCs/>
          <w:sz w:val="24"/>
          <w:szCs w:val="24"/>
        </w:rPr>
        <w:t>Key Dates</w:t>
      </w:r>
    </w:p>
    <w:tbl>
      <w:tblPr>
        <w:tblW w:w="6655" w:type="dxa"/>
        <w:tblBorders>
          <w:top w:val="single" w:sz="6" w:space="0" w:color="DEE2E6"/>
          <w:left w:val="single" w:sz="6" w:space="0" w:color="DEE2E6"/>
          <w:bottom w:val="single" w:sz="6" w:space="0" w:color="DEE2E6"/>
          <w:right w:val="single" w:sz="6" w:space="0" w:color="DEE2E6"/>
        </w:tblBorders>
        <w:shd w:val="clear" w:color="auto" w:fill="F8F9FA"/>
        <w:tblCellMar>
          <w:top w:w="15" w:type="dxa"/>
          <w:left w:w="15" w:type="dxa"/>
          <w:bottom w:w="15" w:type="dxa"/>
          <w:right w:w="15" w:type="dxa"/>
        </w:tblCellMar>
        <w:tblLook w:val="04A0" w:firstRow="1" w:lastRow="0" w:firstColumn="1" w:lastColumn="0" w:noHBand="0" w:noVBand="1"/>
      </w:tblPr>
      <w:tblGrid>
        <w:gridCol w:w="2544"/>
        <w:gridCol w:w="4111"/>
      </w:tblGrid>
      <w:tr w:rsidR="0004710A" w:rsidRPr="0004710A" w14:paraId="335B75F0" w14:textId="77777777" w:rsidTr="00A64DC6">
        <w:trPr>
          <w:trHeight w:val="363"/>
        </w:trPr>
        <w:tc>
          <w:tcPr>
            <w:tcW w:w="2544" w:type="dxa"/>
            <w:tcBorders>
              <w:top w:val="single" w:sz="6" w:space="0" w:color="DEE2E6"/>
              <w:left w:val="single" w:sz="6" w:space="0" w:color="DEE2E6"/>
              <w:bottom w:val="single" w:sz="6" w:space="0" w:color="DEE2E6"/>
              <w:right w:val="single" w:sz="6" w:space="0" w:color="DEE2E6"/>
            </w:tcBorders>
            <w:shd w:val="clear" w:color="auto" w:fill="F8F9FA"/>
            <w:hideMark/>
          </w:tcPr>
          <w:p w14:paraId="23CCD9FB" w14:textId="07EFEF23" w:rsidR="0004710A" w:rsidRPr="0004710A" w:rsidRDefault="00772D94" w:rsidP="0004710A">
            <w:r>
              <w:t>1</w:t>
            </w:r>
            <w:r w:rsidR="00C53E45">
              <w:t>5</w:t>
            </w:r>
            <w:r>
              <w:t xml:space="preserve"> </w:t>
            </w:r>
            <w:r w:rsidR="00C53E45">
              <w:t>March 2024</w:t>
            </w:r>
            <w:r w:rsidR="0004710A" w:rsidRPr="0004710A">
              <w:t xml:space="preserve"> (</w:t>
            </w:r>
            <w:r w:rsidR="00F12D9A">
              <w:t>10</w:t>
            </w:r>
            <w:r w:rsidR="00FB369F">
              <w:t>am</w:t>
            </w:r>
            <w:r w:rsidR="0004710A" w:rsidRPr="0004710A">
              <w:t>)</w:t>
            </w:r>
          </w:p>
        </w:tc>
        <w:tc>
          <w:tcPr>
            <w:tcW w:w="4111" w:type="dxa"/>
            <w:tcBorders>
              <w:top w:val="single" w:sz="6" w:space="0" w:color="DEE2E6"/>
              <w:left w:val="single" w:sz="6" w:space="0" w:color="DEE2E6"/>
              <w:bottom w:val="single" w:sz="6" w:space="0" w:color="DEE2E6"/>
              <w:right w:val="single" w:sz="6" w:space="0" w:color="DEE2E6"/>
            </w:tcBorders>
            <w:shd w:val="clear" w:color="auto" w:fill="F8F9FA"/>
            <w:hideMark/>
          </w:tcPr>
          <w:p w14:paraId="04D325BD" w14:textId="77777777" w:rsidR="0004710A" w:rsidRPr="0004710A" w:rsidRDefault="0004710A" w:rsidP="0004710A">
            <w:r w:rsidRPr="0004710A">
              <w:t>Open for Applications</w:t>
            </w:r>
          </w:p>
        </w:tc>
      </w:tr>
      <w:tr w:rsidR="0004710A" w:rsidRPr="0004710A" w14:paraId="6D1DE409" w14:textId="77777777" w:rsidTr="00A64DC6">
        <w:trPr>
          <w:trHeight w:val="363"/>
        </w:trPr>
        <w:tc>
          <w:tcPr>
            <w:tcW w:w="2544" w:type="dxa"/>
            <w:tcBorders>
              <w:top w:val="single" w:sz="6" w:space="0" w:color="DEE2E6"/>
              <w:left w:val="single" w:sz="6" w:space="0" w:color="DEE2E6"/>
              <w:bottom w:val="single" w:sz="6" w:space="0" w:color="DEE2E6"/>
              <w:right w:val="single" w:sz="6" w:space="0" w:color="DEE2E6"/>
            </w:tcBorders>
            <w:shd w:val="clear" w:color="auto" w:fill="F8F9FA"/>
            <w:hideMark/>
          </w:tcPr>
          <w:p w14:paraId="56C84D74" w14:textId="3E89815F" w:rsidR="0004710A" w:rsidRPr="0004710A" w:rsidRDefault="0045523D" w:rsidP="0004710A">
            <w:r>
              <w:t>29 April 2024</w:t>
            </w:r>
            <w:r w:rsidR="0004710A" w:rsidRPr="0004710A">
              <w:t xml:space="preserve"> (</w:t>
            </w:r>
            <w:r w:rsidR="00772D94">
              <w:t>5pm</w:t>
            </w:r>
            <w:r w:rsidR="0004710A" w:rsidRPr="0004710A">
              <w:t>)</w:t>
            </w:r>
          </w:p>
        </w:tc>
        <w:tc>
          <w:tcPr>
            <w:tcW w:w="4111" w:type="dxa"/>
            <w:tcBorders>
              <w:top w:val="single" w:sz="6" w:space="0" w:color="DEE2E6"/>
              <w:left w:val="single" w:sz="6" w:space="0" w:color="DEE2E6"/>
              <w:bottom w:val="single" w:sz="6" w:space="0" w:color="DEE2E6"/>
              <w:right w:val="single" w:sz="6" w:space="0" w:color="DEE2E6"/>
            </w:tcBorders>
            <w:shd w:val="clear" w:color="auto" w:fill="F8F9FA"/>
            <w:hideMark/>
          </w:tcPr>
          <w:p w14:paraId="5D50501A" w14:textId="77777777" w:rsidR="0004710A" w:rsidRPr="0004710A" w:rsidRDefault="0004710A" w:rsidP="0004710A">
            <w:r w:rsidRPr="0004710A">
              <w:t>Closing date for applications</w:t>
            </w:r>
          </w:p>
        </w:tc>
      </w:tr>
      <w:tr w:rsidR="0004710A" w:rsidRPr="0004710A" w14:paraId="1873F811" w14:textId="77777777" w:rsidTr="00A64DC6">
        <w:trPr>
          <w:trHeight w:val="363"/>
        </w:trPr>
        <w:tc>
          <w:tcPr>
            <w:tcW w:w="2544" w:type="dxa"/>
            <w:tcBorders>
              <w:top w:val="single" w:sz="6" w:space="0" w:color="DEE2E6"/>
              <w:left w:val="single" w:sz="6" w:space="0" w:color="DEE2E6"/>
              <w:bottom w:val="single" w:sz="6" w:space="0" w:color="DEE2E6"/>
              <w:right w:val="single" w:sz="6" w:space="0" w:color="DEE2E6"/>
            </w:tcBorders>
            <w:shd w:val="clear" w:color="auto" w:fill="F8F9FA"/>
            <w:hideMark/>
          </w:tcPr>
          <w:p w14:paraId="2EC2315F" w14:textId="78BEAA84" w:rsidR="0004710A" w:rsidRPr="0004710A" w:rsidRDefault="0045523D" w:rsidP="0004710A">
            <w:r>
              <w:t>6</w:t>
            </w:r>
            <w:r w:rsidR="00806E18">
              <w:t xml:space="preserve"> </w:t>
            </w:r>
            <w:r>
              <w:t>May 2024</w:t>
            </w:r>
          </w:p>
        </w:tc>
        <w:tc>
          <w:tcPr>
            <w:tcW w:w="4111" w:type="dxa"/>
            <w:tcBorders>
              <w:top w:val="single" w:sz="6" w:space="0" w:color="DEE2E6"/>
              <w:left w:val="single" w:sz="6" w:space="0" w:color="DEE2E6"/>
              <w:bottom w:val="single" w:sz="6" w:space="0" w:color="DEE2E6"/>
              <w:right w:val="single" w:sz="6" w:space="0" w:color="DEE2E6"/>
            </w:tcBorders>
            <w:shd w:val="clear" w:color="auto" w:fill="F8F9FA"/>
            <w:hideMark/>
          </w:tcPr>
          <w:p w14:paraId="6AECC5FA" w14:textId="77777777" w:rsidR="0004710A" w:rsidRPr="0004710A" w:rsidRDefault="0004710A" w:rsidP="0004710A">
            <w:r w:rsidRPr="0004710A">
              <w:t>Supervisors to return statement of Support</w:t>
            </w:r>
          </w:p>
        </w:tc>
      </w:tr>
    </w:tbl>
    <w:p w14:paraId="46DD6563" w14:textId="77777777" w:rsidR="006E551A" w:rsidRDefault="006E551A"/>
    <w:sectPr w:rsidR="006E5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388"/>
    <w:multiLevelType w:val="multilevel"/>
    <w:tmpl w:val="6302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3AEA"/>
    <w:multiLevelType w:val="multilevel"/>
    <w:tmpl w:val="E20C9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D708B8"/>
    <w:multiLevelType w:val="multilevel"/>
    <w:tmpl w:val="605AE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84F50"/>
    <w:multiLevelType w:val="hybridMultilevel"/>
    <w:tmpl w:val="0884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44667"/>
    <w:multiLevelType w:val="multilevel"/>
    <w:tmpl w:val="43546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FBF4E1D"/>
    <w:multiLevelType w:val="multilevel"/>
    <w:tmpl w:val="036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13B68"/>
    <w:multiLevelType w:val="multilevel"/>
    <w:tmpl w:val="8DBE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04ED4"/>
    <w:multiLevelType w:val="multilevel"/>
    <w:tmpl w:val="DCB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9035C"/>
    <w:multiLevelType w:val="multilevel"/>
    <w:tmpl w:val="0DB655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A847E60"/>
    <w:multiLevelType w:val="multilevel"/>
    <w:tmpl w:val="E82A4B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65805349">
    <w:abstractNumId w:val="0"/>
  </w:num>
  <w:num w:numId="2" w16cid:durableId="519047733">
    <w:abstractNumId w:val="2"/>
  </w:num>
  <w:num w:numId="3" w16cid:durableId="1151680219">
    <w:abstractNumId w:val="6"/>
  </w:num>
  <w:num w:numId="4" w16cid:durableId="240142995">
    <w:abstractNumId w:val="5"/>
  </w:num>
  <w:num w:numId="5" w16cid:durableId="240413998">
    <w:abstractNumId w:val="9"/>
  </w:num>
  <w:num w:numId="6" w16cid:durableId="1430001636">
    <w:abstractNumId w:val="4"/>
  </w:num>
  <w:num w:numId="7" w16cid:durableId="714619188">
    <w:abstractNumId w:val="8"/>
  </w:num>
  <w:num w:numId="8" w16cid:durableId="931888246">
    <w:abstractNumId w:val="7"/>
  </w:num>
  <w:num w:numId="9" w16cid:durableId="1107697678">
    <w:abstractNumId w:val="3"/>
  </w:num>
  <w:num w:numId="10" w16cid:durableId="138775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CF"/>
    <w:rsid w:val="0000515D"/>
    <w:rsid w:val="0004517C"/>
    <w:rsid w:val="0004710A"/>
    <w:rsid w:val="00057073"/>
    <w:rsid w:val="000961C7"/>
    <w:rsid w:val="000A3844"/>
    <w:rsid w:val="000B5B5B"/>
    <w:rsid w:val="000F536F"/>
    <w:rsid w:val="00125D3B"/>
    <w:rsid w:val="001330FB"/>
    <w:rsid w:val="0014325D"/>
    <w:rsid w:val="00156D19"/>
    <w:rsid w:val="001F6C60"/>
    <w:rsid w:val="0022169D"/>
    <w:rsid w:val="0022316B"/>
    <w:rsid w:val="00245A5D"/>
    <w:rsid w:val="00267775"/>
    <w:rsid w:val="002C183B"/>
    <w:rsid w:val="002C4230"/>
    <w:rsid w:val="002D066F"/>
    <w:rsid w:val="002D3E9F"/>
    <w:rsid w:val="002D73E8"/>
    <w:rsid w:val="00315B9F"/>
    <w:rsid w:val="00322687"/>
    <w:rsid w:val="00351B5D"/>
    <w:rsid w:val="00354D7E"/>
    <w:rsid w:val="003A48B1"/>
    <w:rsid w:val="003B1697"/>
    <w:rsid w:val="003D6ED1"/>
    <w:rsid w:val="003E56D6"/>
    <w:rsid w:val="003E59F4"/>
    <w:rsid w:val="003F4251"/>
    <w:rsid w:val="00401B6E"/>
    <w:rsid w:val="004277D5"/>
    <w:rsid w:val="00452AC6"/>
    <w:rsid w:val="0045523D"/>
    <w:rsid w:val="00477ECF"/>
    <w:rsid w:val="004C2717"/>
    <w:rsid w:val="004C65C5"/>
    <w:rsid w:val="004C78A0"/>
    <w:rsid w:val="004D0B7A"/>
    <w:rsid w:val="004D45CF"/>
    <w:rsid w:val="005231DD"/>
    <w:rsid w:val="005402A4"/>
    <w:rsid w:val="00566C1B"/>
    <w:rsid w:val="00583C5B"/>
    <w:rsid w:val="005853D6"/>
    <w:rsid w:val="005870AC"/>
    <w:rsid w:val="00592778"/>
    <w:rsid w:val="005F6C0E"/>
    <w:rsid w:val="00600ADB"/>
    <w:rsid w:val="00602061"/>
    <w:rsid w:val="0061510D"/>
    <w:rsid w:val="0062137E"/>
    <w:rsid w:val="00641E4D"/>
    <w:rsid w:val="00653745"/>
    <w:rsid w:val="006543A7"/>
    <w:rsid w:val="006943A6"/>
    <w:rsid w:val="006A172A"/>
    <w:rsid w:val="006B1F39"/>
    <w:rsid w:val="006B2B8B"/>
    <w:rsid w:val="006B5C39"/>
    <w:rsid w:val="006C160D"/>
    <w:rsid w:val="006C4AB5"/>
    <w:rsid w:val="006C7A15"/>
    <w:rsid w:val="006E026B"/>
    <w:rsid w:val="006E551A"/>
    <w:rsid w:val="006F5098"/>
    <w:rsid w:val="00766D12"/>
    <w:rsid w:val="00772D94"/>
    <w:rsid w:val="007770A3"/>
    <w:rsid w:val="00792613"/>
    <w:rsid w:val="00793880"/>
    <w:rsid w:val="007A3864"/>
    <w:rsid w:val="007B44CF"/>
    <w:rsid w:val="007D3967"/>
    <w:rsid w:val="007E031D"/>
    <w:rsid w:val="007E2BF7"/>
    <w:rsid w:val="007E7C94"/>
    <w:rsid w:val="007F6A22"/>
    <w:rsid w:val="007F7C35"/>
    <w:rsid w:val="00806E18"/>
    <w:rsid w:val="00817295"/>
    <w:rsid w:val="00853C3A"/>
    <w:rsid w:val="00876CC4"/>
    <w:rsid w:val="008A2EA1"/>
    <w:rsid w:val="008D37DA"/>
    <w:rsid w:val="008D68A4"/>
    <w:rsid w:val="00903EBB"/>
    <w:rsid w:val="00910805"/>
    <w:rsid w:val="00913F01"/>
    <w:rsid w:val="00933327"/>
    <w:rsid w:val="009435DE"/>
    <w:rsid w:val="00977CCD"/>
    <w:rsid w:val="00984B26"/>
    <w:rsid w:val="009C4C78"/>
    <w:rsid w:val="009D18E3"/>
    <w:rsid w:val="009F45AD"/>
    <w:rsid w:val="009F6DEF"/>
    <w:rsid w:val="009F7777"/>
    <w:rsid w:val="00A13C5F"/>
    <w:rsid w:val="00A21349"/>
    <w:rsid w:val="00A27F4A"/>
    <w:rsid w:val="00A4259B"/>
    <w:rsid w:val="00A43BB5"/>
    <w:rsid w:val="00A47D53"/>
    <w:rsid w:val="00A50737"/>
    <w:rsid w:val="00A64DC6"/>
    <w:rsid w:val="00A845C9"/>
    <w:rsid w:val="00A9661F"/>
    <w:rsid w:val="00AA33F9"/>
    <w:rsid w:val="00AB03F5"/>
    <w:rsid w:val="00AC40E6"/>
    <w:rsid w:val="00AC7FCE"/>
    <w:rsid w:val="00AE0452"/>
    <w:rsid w:val="00AE7ECA"/>
    <w:rsid w:val="00AF1715"/>
    <w:rsid w:val="00AF5E0F"/>
    <w:rsid w:val="00AF73BD"/>
    <w:rsid w:val="00B17E83"/>
    <w:rsid w:val="00B26F16"/>
    <w:rsid w:val="00B560AB"/>
    <w:rsid w:val="00B603E1"/>
    <w:rsid w:val="00B932D3"/>
    <w:rsid w:val="00BC38C2"/>
    <w:rsid w:val="00BF632C"/>
    <w:rsid w:val="00BF7A87"/>
    <w:rsid w:val="00C002EA"/>
    <w:rsid w:val="00C17156"/>
    <w:rsid w:val="00C245D1"/>
    <w:rsid w:val="00C275F0"/>
    <w:rsid w:val="00C53E45"/>
    <w:rsid w:val="00C62791"/>
    <w:rsid w:val="00C95AB5"/>
    <w:rsid w:val="00C96D4A"/>
    <w:rsid w:val="00C97C5A"/>
    <w:rsid w:val="00D11698"/>
    <w:rsid w:val="00D118C5"/>
    <w:rsid w:val="00D379C4"/>
    <w:rsid w:val="00D45536"/>
    <w:rsid w:val="00D92D86"/>
    <w:rsid w:val="00DA3839"/>
    <w:rsid w:val="00DA7BC5"/>
    <w:rsid w:val="00DB5620"/>
    <w:rsid w:val="00DC6B92"/>
    <w:rsid w:val="00E34953"/>
    <w:rsid w:val="00E45779"/>
    <w:rsid w:val="00E5676C"/>
    <w:rsid w:val="00E70D04"/>
    <w:rsid w:val="00E73B4C"/>
    <w:rsid w:val="00E84AD6"/>
    <w:rsid w:val="00EC5F6B"/>
    <w:rsid w:val="00EE00B1"/>
    <w:rsid w:val="00EE628C"/>
    <w:rsid w:val="00F024C3"/>
    <w:rsid w:val="00F02601"/>
    <w:rsid w:val="00F12D9A"/>
    <w:rsid w:val="00F54924"/>
    <w:rsid w:val="00F57215"/>
    <w:rsid w:val="00F61C15"/>
    <w:rsid w:val="00F76D3A"/>
    <w:rsid w:val="00F80B5D"/>
    <w:rsid w:val="00FA1C58"/>
    <w:rsid w:val="00FA3452"/>
    <w:rsid w:val="00FB0834"/>
    <w:rsid w:val="00FB3667"/>
    <w:rsid w:val="00FB369F"/>
    <w:rsid w:val="00FB513A"/>
    <w:rsid w:val="00FE64EA"/>
    <w:rsid w:val="00FF3954"/>
    <w:rsid w:val="00FF41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80F0"/>
  <w15:chartTrackingRefBased/>
  <w15:docId w15:val="{670931D4-23AB-4D56-907C-FE07E4C4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4CF"/>
    <w:rPr>
      <w:color w:val="0563C1" w:themeColor="hyperlink"/>
      <w:u w:val="single"/>
    </w:rPr>
  </w:style>
  <w:style w:type="character" w:styleId="UnresolvedMention">
    <w:name w:val="Unresolved Mention"/>
    <w:basedOn w:val="DefaultParagraphFont"/>
    <w:uiPriority w:val="99"/>
    <w:semiHidden/>
    <w:unhideWhenUsed/>
    <w:rsid w:val="007B44CF"/>
    <w:rPr>
      <w:color w:val="605E5C"/>
      <w:shd w:val="clear" w:color="auto" w:fill="E1DFDD"/>
    </w:rPr>
  </w:style>
  <w:style w:type="character" w:styleId="FollowedHyperlink">
    <w:name w:val="FollowedHyperlink"/>
    <w:basedOn w:val="DefaultParagraphFont"/>
    <w:uiPriority w:val="99"/>
    <w:semiHidden/>
    <w:unhideWhenUsed/>
    <w:rsid w:val="002D066F"/>
    <w:rPr>
      <w:color w:val="954F72" w:themeColor="followedHyperlink"/>
      <w:u w:val="single"/>
    </w:rPr>
  </w:style>
  <w:style w:type="paragraph" w:customStyle="1" w:styleId="Default">
    <w:name w:val="Default"/>
    <w:rsid w:val="00FF41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F73BD"/>
    <w:pPr>
      <w:ind w:left="720"/>
      <w:contextualSpacing/>
    </w:pPr>
  </w:style>
  <w:style w:type="table" w:styleId="TableGrid">
    <w:name w:val="Table Grid"/>
    <w:basedOn w:val="TableNormal"/>
    <w:rsid w:val="006C7A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7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96136">
      <w:bodyDiv w:val="1"/>
      <w:marLeft w:val="0"/>
      <w:marRight w:val="0"/>
      <w:marTop w:val="0"/>
      <w:marBottom w:val="0"/>
      <w:divBdr>
        <w:top w:val="none" w:sz="0" w:space="0" w:color="auto"/>
        <w:left w:val="none" w:sz="0" w:space="0" w:color="auto"/>
        <w:bottom w:val="none" w:sz="0" w:space="0" w:color="auto"/>
        <w:right w:val="none" w:sz="0" w:space="0" w:color="auto"/>
      </w:divBdr>
    </w:div>
    <w:div w:id="1191064774">
      <w:bodyDiv w:val="1"/>
      <w:marLeft w:val="0"/>
      <w:marRight w:val="0"/>
      <w:marTop w:val="0"/>
      <w:marBottom w:val="0"/>
      <w:divBdr>
        <w:top w:val="none" w:sz="0" w:space="0" w:color="auto"/>
        <w:left w:val="none" w:sz="0" w:space="0" w:color="auto"/>
        <w:bottom w:val="none" w:sz="0" w:space="0" w:color="auto"/>
        <w:right w:val="none" w:sz="0" w:space="0" w:color="auto"/>
      </w:divBdr>
    </w:div>
    <w:div w:id="1324159674">
      <w:bodyDiv w:val="1"/>
      <w:marLeft w:val="0"/>
      <w:marRight w:val="0"/>
      <w:marTop w:val="0"/>
      <w:marBottom w:val="0"/>
      <w:divBdr>
        <w:top w:val="none" w:sz="0" w:space="0" w:color="auto"/>
        <w:left w:val="none" w:sz="0" w:space="0" w:color="auto"/>
        <w:bottom w:val="none" w:sz="0" w:space="0" w:color="auto"/>
        <w:right w:val="none" w:sz="0" w:space="0" w:color="auto"/>
      </w:divBdr>
    </w:div>
    <w:div w:id="1499075581">
      <w:bodyDiv w:val="1"/>
      <w:marLeft w:val="0"/>
      <w:marRight w:val="0"/>
      <w:marTop w:val="0"/>
      <w:marBottom w:val="0"/>
      <w:divBdr>
        <w:top w:val="none" w:sz="0" w:space="0" w:color="auto"/>
        <w:left w:val="none" w:sz="0" w:space="0" w:color="auto"/>
        <w:bottom w:val="none" w:sz="0" w:space="0" w:color="auto"/>
        <w:right w:val="none" w:sz="0" w:space="0" w:color="auto"/>
      </w:divBdr>
    </w:div>
    <w:div w:id="2057117456">
      <w:bodyDiv w:val="1"/>
      <w:marLeft w:val="0"/>
      <w:marRight w:val="0"/>
      <w:marTop w:val="0"/>
      <w:marBottom w:val="0"/>
      <w:divBdr>
        <w:top w:val="none" w:sz="0" w:space="0" w:color="auto"/>
        <w:left w:val="none" w:sz="0" w:space="0" w:color="auto"/>
        <w:bottom w:val="none" w:sz="0" w:space="0" w:color="auto"/>
        <w:right w:val="none" w:sz="0" w:space="0" w:color="auto"/>
      </w:divBdr>
    </w:div>
    <w:div w:id="21270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la.ac.uk/media/Media_855017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rath.ac.uk/professionalservices/finance/accountingservices/conly/travelcoverage/" TargetMode="External"/><Relationship Id="rId17" Type="http://schemas.openxmlformats.org/officeDocument/2006/relationships/hyperlink" Target="mailto:pgr@glasgow.ac.uk" TargetMode="External"/><Relationship Id="rId2" Type="http://schemas.openxmlformats.org/officeDocument/2006/relationships/customXml" Target="../customXml/item2.xml"/><Relationship Id="rId16" Type="http://schemas.openxmlformats.org/officeDocument/2006/relationships/hyperlink" Target="mailto:compliance-support@glasgow.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insurance/travelinsurance/applyfortravelinsurance/" TargetMode="External"/><Relationship Id="rId5" Type="http://schemas.openxmlformats.org/officeDocument/2006/relationships/styles" Target="styles.xml"/><Relationship Id="rId15" Type="http://schemas.openxmlformats.org/officeDocument/2006/relationships/hyperlink" Target="https://www.gla.ac.uk/research/strategy/ourpolicies/exportcontrol/guidanceforexportcontrolcompliance/" TargetMode="External"/><Relationship Id="rId10" Type="http://schemas.openxmlformats.org/officeDocument/2006/relationships/hyperlink" Target="mailto:pgr@glasgow.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rontdoor.spa.gla.ac.uk/ScholarshipApp/" TargetMode="External"/><Relationship Id="rId14" Type="http://schemas.openxmlformats.org/officeDocument/2006/relationships/hyperlink" Target="https://www.strath.ac.uk/studywithus/studyabroad/going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41BC5206DBA41AE62826E48F79D72" ma:contentTypeVersion="8" ma:contentTypeDescription="Create a new document." ma:contentTypeScope="" ma:versionID="a6597cb2184bc35b3171612ba5cedfec">
  <xsd:schema xmlns:xsd="http://www.w3.org/2001/XMLSchema" xmlns:xs="http://www.w3.org/2001/XMLSchema" xmlns:p="http://schemas.microsoft.com/office/2006/metadata/properties" xmlns:ns2="4a709397-c07c-4b5d-bf57-f274280639a7" xmlns:ns3="df4874cb-e17a-4fc0-b8d1-9ea3b251bfee" targetNamespace="http://schemas.microsoft.com/office/2006/metadata/properties" ma:root="true" ma:fieldsID="3562dd90c9891b36b83bd158a590a3d7" ns2:_="" ns3:_="">
    <xsd:import namespace="4a709397-c07c-4b5d-bf57-f274280639a7"/>
    <xsd:import namespace="df4874cb-e17a-4fc0-b8d1-9ea3b251bf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09397-c07c-4b5d-bf57-f27428063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874cb-e17a-4fc0-b8d1-9ea3b251b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F5A2E-D90C-4635-BA1B-24DA351F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09397-c07c-4b5d-bf57-f274280639a7"/>
    <ds:schemaRef ds:uri="df4874cb-e17a-4fc0-b8d1-9ea3b251b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9EDAF-225A-4410-BDC5-887E56AE837C}">
  <ds:schemaRefs>
    <ds:schemaRef ds:uri="http://schemas.microsoft.com/sharepoint/v3/contenttype/forms"/>
  </ds:schemaRefs>
</ds:datastoreItem>
</file>

<file path=customXml/itemProps3.xml><?xml version="1.0" encoding="utf-8"?>
<ds:datastoreItem xmlns:ds="http://schemas.openxmlformats.org/officeDocument/2006/customXml" ds:itemID="{BABA51BF-5CB2-4166-BAB0-2BEAF6905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Faisal</dc:creator>
  <cp:keywords/>
  <dc:description/>
  <cp:lastModifiedBy>Derek Simpson</cp:lastModifiedBy>
  <cp:revision>11</cp:revision>
  <cp:lastPrinted>2023-04-17T09:37:00Z</cp:lastPrinted>
  <dcterms:created xsi:type="dcterms:W3CDTF">2024-02-14T09:20:00Z</dcterms:created>
  <dcterms:modified xsi:type="dcterms:W3CDTF">2024-03-14T11:29:00Z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0x01010033541BC5206DBA41AE62826E48F79D72</vt:lpwstr>
  </property>
</Properties>
</file>