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B1D3" w14:textId="77777777" w:rsidR="006B16E0" w:rsidRDefault="006B16E0">
      <w:pPr>
        <w:pStyle w:val="BodyText"/>
        <w:rPr>
          <w:rFonts w:ascii="Times New Roman"/>
          <w:sz w:val="20"/>
        </w:rPr>
      </w:pPr>
    </w:p>
    <w:p w14:paraId="58F1B1D4" w14:textId="77777777" w:rsidR="006B16E0" w:rsidRDefault="006B16E0">
      <w:pPr>
        <w:pStyle w:val="BodyText"/>
        <w:rPr>
          <w:rFonts w:ascii="Times New Roman"/>
          <w:sz w:val="20"/>
        </w:rPr>
      </w:pPr>
    </w:p>
    <w:p w14:paraId="58F1B1D5" w14:textId="77777777" w:rsidR="006B16E0" w:rsidRDefault="006B16E0">
      <w:pPr>
        <w:pStyle w:val="BodyText"/>
        <w:spacing w:before="3"/>
        <w:rPr>
          <w:rFonts w:ascii="Times New Roman"/>
        </w:rPr>
      </w:pPr>
    </w:p>
    <w:p w14:paraId="58F1B1D6" w14:textId="77777777" w:rsidR="006B16E0" w:rsidRDefault="005E225B">
      <w:pPr>
        <w:spacing w:before="51"/>
        <w:ind w:left="2161" w:right="2162"/>
        <w:jc w:val="center"/>
        <w:rPr>
          <w:b/>
          <w:sz w:val="24"/>
        </w:rPr>
      </w:pPr>
      <w:r>
        <w:rPr>
          <w:b/>
          <w:sz w:val="24"/>
        </w:rPr>
        <w:t>Using the OSU-TBI in a Scottish Prison Population</w:t>
      </w:r>
    </w:p>
    <w:p w14:paraId="58F1B1D7" w14:textId="77777777" w:rsidR="006B16E0" w:rsidRDefault="005E225B">
      <w:pPr>
        <w:pStyle w:val="BodyText"/>
        <w:spacing w:before="182" w:line="259" w:lineRule="auto"/>
        <w:ind w:left="119" w:right="115"/>
        <w:jc w:val="both"/>
      </w:pPr>
      <w:r>
        <w:t>These notes/guidance on administration of the OSU-TBI are based on research studies on approximately 500 prisoners in Scotland. These notes may be updated from time to time-if you have suggestions contact Professor McMillan [</w:t>
      </w:r>
      <w:hyperlink r:id="rId6">
        <w:r>
          <w:t>Thomas.mcmillan@glasgow.ac.uk</w:t>
        </w:r>
      </w:hyperlink>
      <w:r>
        <w:t>].</w:t>
      </w:r>
    </w:p>
    <w:p w14:paraId="58F1B1D8" w14:textId="77777777" w:rsidR="006B16E0" w:rsidRDefault="006B16E0">
      <w:pPr>
        <w:pStyle w:val="BodyText"/>
      </w:pPr>
    </w:p>
    <w:p w14:paraId="58F1B1D9" w14:textId="77777777" w:rsidR="006B16E0" w:rsidRDefault="006B16E0">
      <w:pPr>
        <w:pStyle w:val="BodyText"/>
        <w:spacing w:before="1"/>
        <w:rPr>
          <w:sz w:val="28"/>
        </w:rPr>
      </w:pPr>
    </w:p>
    <w:p w14:paraId="58F1B1DA" w14:textId="77777777" w:rsidR="006B16E0" w:rsidRDefault="005E225B">
      <w:pPr>
        <w:pStyle w:val="ListParagraph"/>
        <w:numPr>
          <w:ilvl w:val="0"/>
          <w:numId w:val="2"/>
        </w:numPr>
        <w:tabs>
          <w:tab w:val="left" w:pos="839"/>
          <w:tab w:val="left" w:pos="840"/>
        </w:tabs>
        <w:ind w:right="0"/>
        <w:jc w:val="left"/>
      </w:pPr>
      <w:r>
        <w:t>Generally terms the OSU-TBI takes about 5 minutes to</w:t>
      </w:r>
      <w:r>
        <w:rPr>
          <w:spacing w:val="-9"/>
        </w:rPr>
        <w:t xml:space="preserve"> </w:t>
      </w:r>
      <w:r>
        <w:t>complete.</w:t>
      </w:r>
    </w:p>
    <w:p w14:paraId="58F1B1DB" w14:textId="77777777" w:rsidR="006B16E0" w:rsidRDefault="005E225B">
      <w:pPr>
        <w:pStyle w:val="ListParagraph"/>
        <w:numPr>
          <w:ilvl w:val="0"/>
          <w:numId w:val="2"/>
        </w:numPr>
        <w:tabs>
          <w:tab w:val="left" w:pos="840"/>
        </w:tabs>
        <w:spacing w:before="20" w:line="259" w:lineRule="auto"/>
      </w:pPr>
      <w:r>
        <w:t>There</w:t>
      </w:r>
      <w:r>
        <w:rPr>
          <w:spacing w:val="-11"/>
        </w:rPr>
        <w:t xml:space="preserve"> </w:t>
      </w:r>
      <w:r>
        <w:t>is</w:t>
      </w:r>
      <w:r>
        <w:rPr>
          <w:spacing w:val="-10"/>
        </w:rPr>
        <w:t xml:space="preserve"> </w:t>
      </w:r>
      <w:r>
        <w:t>an</w:t>
      </w:r>
      <w:r>
        <w:rPr>
          <w:spacing w:val="-12"/>
        </w:rPr>
        <w:t xml:space="preserve"> </w:t>
      </w:r>
      <w:r>
        <w:t>intention</w:t>
      </w:r>
      <w:r>
        <w:rPr>
          <w:spacing w:val="-11"/>
        </w:rPr>
        <w:t xml:space="preserve"> </w:t>
      </w:r>
      <w:r>
        <w:t>to</w:t>
      </w:r>
      <w:r>
        <w:rPr>
          <w:spacing w:val="-10"/>
        </w:rPr>
        <w:t xml:space="preserve"> </w:t>
      </w:r>
      <w:r>
        <w:t>provide</w:t>
      </w:r>
      <w:r>
        <w:rPr>
          <w:spacing w:val="-10"/>
        </w:rPr>
        <w:t xml:space="preserve"> </w:t>
      </w:r>
      <w:r>
        <w:t>more</w:t>
      </w:r>
      <w:r>
        <w:rPr>
          <w:spacing w:val="-11"/>
        </w:rPr>
        <w:t xml:space="preserve"> </w:t>
      </w:r>
      <w:r>
        <w:t>general</w:t>
      </w:r>
      <w:r>
        <w:rPr>
          <w:spacing w:val="-11"/>
        </w:rPr>
        <w:t xml:space="preserve"> </w:t>
      </w:r>
      <w:r>
        <w:t>training</w:t>
      </w:r>
      <w:r>
        <w:rPr>
          <w:spacing w:val="-11"/>
        </w:rPr>
        <w:t xml:space="preserve"> </w:t>
      </w:r>
      <w:r>
        <w:t>on</w:t>
      </w:r>
      <w:r>
        <w:rPr>
          <w:spacing w:val="-12"/>
        </w:rPr>
        <w:t xml:space="preserve"> </w:t>
      </w:r>
      <w:r>
        <w:t>the</w:t>
      </w:r>
      <w:r>
        <w:rPr>
          <w:spacing w:val="-10"/>
        </w:rPr>
        <w:t xml:space="preserve"> </w:t>
      </w:r>
      <w:r>
        <w:t>assessment</w:t>
      </w:r>
      <w:r>
        <w:rPr>
          <w:spacing w:val="-11"/>
        </w:rPr>
        <w:t xml:space="preserve"> </w:t>
      </w:r>
      <w:r>
        <w:t>of</w:t>
      </w:r>
      <w:r>
        <w:rPr>
          <w:spacing w:val="-11"/>
        </w:rPr>
        <w:t xml:space="preserve"> </w:t>
      </w:r>
      <w:r>
        <w:t>head</w:t>
      </w:r>
      <w:r>
        <w:rPr>
          <w:spacing w:val="-11"/>
        </w:rPr>
        <w:t xml:space="preserve"> </w:t>
      </w:r>
      <w:r>
        <w:t>injury,</w:t>
      </w:r>
      <w:r>
        <w:rPr>
          <w:spacing w:val="-11"/>
        </w:rPr>
        <w:t xml:space="preserve"> </w:t>
      </w:r>
      <w:r>
        <w:t>triage and its management that is easy to access on the web by the end of</w:t>
      </w:r>
      <w:r>
        <w:rPr>
          <w:spacing w:val="-17"/>
        </w:rPr>
        <w:t xml:space="preserve"> </w:t>
      </w:r>
      <w:r>
        <w:t>2020.</w:t>
      </w:r>
    </w:p>
    <w:p w14:paraId="58F1B1DC" w14:textId="77777777" w:rsidR="006B16E0" w:rsidRDefault="006B16E0">
      <w:pPr>
        <w:pStyle w:val="BodyText"/>
      </w:pPr>
    </w:p>
    <w:p w14:paraId="58F1B1DD" w14:textId="77777777" w:rsidR="006B16E0" w:rsidRDefault="006B16E0">
      <w:pPr>
        <w:pStyle w:val="BodyText"/>
        <w:spacing w:before="12"/>
        <w:rPr>
          <w:sz w:val="27"/>
        </w:rPr>
      </w:pPr>
    </w:p>
    <w:p w14:paraId="58F1B1DE" w14:textId="77777777" w:rsidR="006B16E0" w:rsidRDefault="005E225B">
      <w:pPr>
        <w:pStyle w:val="ListParagraph"/>
        <w:numPr>
          <w:ilvl w:val="0"/>
          <w:numId w:val="1"/>
        </w:numPr>
        <w:tabs>
          <w:tab w:val="left" w:pos="840"/>
        </w:tabs>
        <w:spacing w:line="259" w:lineRule="auto"/>
        <w:ind w:right="115"/>
        <w:jc w:val="both"/>
      </w:pPr>
      <w:r>
        <w:t>Many prisoners report multiple head injuries often in the context of gang/scheme fights or abuse. In these cases it is often useful to begin by asking about repeated head injuries (Step 3), before asking about individual head injuries (Step 1). This can lead to a faster decision about whether the history of head injury is likely to have caused persisting</w:t>
      </w:r>
      <w:r>
        <w:rPr>
          <w:spacing w:val="-13"/>
        </w:rPr>
        <w:t xml:space="preserve"> </w:t>
      </w:r>
      <w:r>
        <w:t>effects.</w:t>
      </w:r>
    </w:p>
    <w:p w14:paraId="58F1B1DF" w14:textId="77777777" w:rsidR="006B16E0" w:rsidRDefault="006B16E0">
      <w:pPr>
        <w:pStyle w:val="BodyText"/>
        <w:spacing w:before="6"/>
        <w:rPr>
          <w:sz w:val="23"/>
        </w:rPr>
      </w:pPr>
    </w:p>
    <w:p w14:paraId="58F1B1E0" w14:textId="77777777" w:rsidR="006B16E0" w:rsidRDefault="005E225B">
      <w:pPr>
        <w:pStyle w:val="ListParagraph"/>
        <w:numPr>
          <w:ilvl w:val="0"/>
          <w:numId w:val="1"/>
        </w:numPr>
        <w:tabs>
          <w:tab w:val="left" w:pos="840"/>
        </w:tabs>
        <w:spacing w:line="259" w:lineRule="auto"/>
        <w:ind w:right="115"/>
        <w:jc w:val="both"/>
      </w:pPr>
      <w:r>
        <w:t>Make clear to the prisoner that a “head injury” is any event associated with a period of time where the individual was dazed, unconscious, and/or had a memory gap - even if impact was to the face. Specify that this includes head injuries that they may consider minor (i.e., being punched in the face or</w:t>
      </w:r>
      <w:r>
        <w:rPr>
          <w:spacing w:val="-4"/>
        </w:rPr>
        <w:t xml:space="preserve"> </w:t>
      </w:r>
      <w:r>
        <w:t>head).</w:t>
      </w:r>
    </w:p>
    <w:p w14:paraId="58F1B1E1" w14:textId="77777777" w:rsidR="006B16E0" w:rsidRDefault="006B16E0">
      <w:pPr>
        <w:pStyle w:val="BodyText"/>
      </w:pPr>
    </w:p>
    <w:p w14:paraId="58F1B1E2" w14:textId="77777777" w:rsidR="006B16E0" w:rsidRDefault="006B16E0">
      <w:pPr>
        <w:pStyle w:val="BodyText"/>
        <w:spacing w:before="5"/>
        <w:rPr>
          <w:sz w:val="25"/>
        </w:rPr>
      </w:pPr>
    </w:p>
    <w:p w14:paraId="58F1B1E3" w14:textId="613BA702" w:rsidR="006B16E0" w:rsidRDefault="005E225B">
      <w:pPr>
        <w:pStyle w:val="ListParagraph"/>
        <w:numPr>
          <w:ilvl w:val="0"/>
          <w:numId w:val="1"/>
        </w:numPr>
        <w:tabs>
          <w:tab w:val="left" w:pos="840"/>
        </w:tabs>
        <w:spacing w:before="1" w:line="259" w:lineRule="auto"/>
        <w:ind w:right="114" w:hanging="361"/>
        <w:jc w:val="both"/>
      </w:pPr>
      <w:r>
        <w:t xml:space="preserve">Where an individual cannot remember how long they were unconscious, prompt them to approximate; </w:t>
      </w:r>
      <w:r w:rsidR="0049386A">
        <w:t>i.e.</w:t>
      </w:r>
      <w:r>
        <w:t xml:space="preserve"> was this likely to be more or less than 30 minutes. When drugs and alcohol may</w:t>
      </w:r>
      <w:r>
        <w:rPr>
          <w:spacing w:val="-10"/>
        </w:rPr>
        <w:t xml:space="preserve"> </w:t>
      </w:r>
      <w:r>
        <w:t>have</w:t>
      </w:r>
      <w:r>
        <w:rPr>
          <w:spacing w:val="-11"/>
        </w:rPr>
        <w:t xml:space="preserve"> </w:t>
      </w:r>
      <w:r>
        <w:t>affected</w:t>
      </w:r>
      <w:r>
        <w:rPr>
          <w:spacing w:val="-12"/>
        </w:rPr>
        <w:t xml:space="preserve"> </w:t>
      </w:r>
      <w:r>
        <w:t>their</w:t>
      </w:r>
      <w:r>
        <w:rPr>
          <w:spacing w:val="-11"/>
        </w:rPr>
        <w:t xml:space="preserve"> </w:t>
      </w:r>
      <w:r>
        <w:t>recollection,</w:t>
      </w:r>
      <w:r>
        <w:rPr>
          <w:spacing w:val="-11"/>
        </w:rPr>
        <w:t xml:space="preserve"> </w:t>
      </w:r>
      <w:r>
        <w:t>note</w:t>
      </w:r>
      <w:r>
        <w:rPr>
          <w:spacing w:val="-11"/>
        </w:rPr>
        <w:t xml:space="preserve"> </w:t>
      </w:r>
      <w:proofErr w:type="gramStart"/>
      <w:r>
        <w:t>this</w:t>
      </w:r>
      <w:proofErr w:type="gramEnd"/>
      <w:r>
        <w:rPr>
          <w:spacing w:val="-11"/>
        </w:rPr>
        <w:t xml:space="preserve"> </w:t>
      </w:r>
      <w:r>
        <w:t>and</w:t>
      </w:r>
      <w:r>
        <w:rPr>
          <w:spacing w:val="-10"/>
        </w:rPr>
        <w:t xml:space="preserve"> </w:t>
      </w:r>
      <w:r>
        <w:t>interpret</w:t>
      </w:r>
      <w:r>
        <w:rPr>
          <w:spacing w:val="-10"/>
        </w:rPr>
        <w:t xml:space="preserve"> </w:t>
      </w:r>
      <w:r>
        <w:t>the</w:t>
      </w:r>
      <w:r>
        <w:rPr>
          <w:spacing w:val="-11"/>
        </w:rPr>
        <w:t xml:space="preserve"> </w:t>
      </w:r>
      <w:r>
        <w:t>likelihood</w:t>
      </w:r>
      <w:r>
        <w:rPr>
          <w:spacing w:val="-15"/>
        </w:rPr>
        <w:t xml:space="preserve"> </w:t>
      </w:r>
      <w:r>
        <w:t>of</w:t>
      </w:r>
      <w:r>
        <w:rPr>
          <w:spacing w:val="-8"/>
        </w:rPr>
        <w:t xml:space="preserve"> </w:t>
      </w:r>
      <w:r>
        <w:t>impairment</w:t>
      </w:r>
      <w:r>
        <w:rPr>
          <w:spacing w:val="-11"/>
        </w:rPr>
        <w:t xml:space="preserve"> </w:t>
      </w:r>
      <w:r>
        <w:t>with caution.</w:t>
      </w:r>
    </w:p>
    <w:p w14:paraId="58F1B1E4" w14:textId="77777777" w:rsidR="006B16E0" w:rsidRDefault="006B16E0">
      <w:pPr>
        <w:pStyle w:val="BodyText"/>
        <w:spacing w:before="8"/>
        <w:rPr>
          <w:sz w:val="23"/>
        </w:rPr>
      </w:pPr>
    </w:p>
    <w:p w14:paraId="58F1B1E5" w14:textId="77777777" w:rsidR="006B16E0" w:rsidRDefault="005E225B">
      <w:pPr>
        <w:pStyle w:val="ListParagraph"/>
        <w:numPr>
          <w:ilvl w:val="0"/>
          <w:numId w:val="1"/>
        </w:numPr>
        <w:tabs>
          <w:tab w:val="left" w:pos="841"/>
        </w:tabs>
        <w:spacing w:line="259" w:lineRule="auto"/>
        <w:ind w:left="840"/>
        <w:jc w:val="both"/>
      </w:pPr>
      <w:r>
        <w:t>Males will often not mention head injuries resulting from domestic incidents (especially partner</w:t>
      </w:r>
      <w:r>
        <w:rPr>
          <w:spacing w:val="-11"/>
        </w:rPr>
        <w:t xml:space="preserve"> </w:t>
      </w:r>
      <w:r>
        <w:t>assault).</w:t>
      </w:r>
      <w:r>
        <w:rPr>
          <w:spacing w:val="-11"/>
        </w:rPr>
        <w:t xml:space="preserve"> </w:t>
      </w:r>
      <w:r>
        <w:t>However,</w:t>
      </w:r>
      <w:r>
        <w:rPr>
          <w:spacing w:val="-16"/>
        </w:rPr>
        <w:t xml:space="preserve"> </w:t>
      </w:r>
      <w:r>
        <w:t>this</w:t>
      </w:r>
      <w:r>
        <w:rPr>
          <w:spacing w:val="-10"/>
        </w:rPr>
        <w:t xml:space="preserve"> </w:t>
      </w:r>
      <w:r>
        <w:t>is</w:t>
      </w:r>
      <w:r>
        <w:rPr>
          <w:spacing w:val="-10"/>
        </w:rPr>
        <w:t xml:space="preserve"> </w:t>
      </w:r>
      <w:r>
        <w:t>not</w:t>
      </w:r>
      <w:r>
        <w:rPr>
          <w:spacing w:val="-11"/>
        </w:rPr>
        <w:t xml:space="preserve"> </w:t>
      </w:r>
      <w:r>
        <w:t>an</w:t>
      </w:r>
      <w:r>
        <w:rPr>
          <w:spacing w:val="-11"/>
        </w:rPr>
        <w:t xml:space="preserve"> </w:t>
      </w:r>
      <w:r>
        <w:t>uncommon</w:t>
      </w:r>
      <w:r>
        <w:rPr>
          <w:spacing w:val="-14"/>
        </w:rPr>
        <w:t xml:space="preserve"> </w:t>
      </w:r>
      <w:r>
        <w:t>cause</w:t>
      </w:r>
      <w:r>
        <w:rPr>
          <w:spacing w:val="-11"/>
        </w:rPr>
        <w:t xml:space="preserve"> </w:t>
      </w:r>
      <w:r>
        <w:t>in</w:t>
      </w:r>
      <w:r>
        <w:rPr>
          <w:spacing w:val="-14"/>
        </w:rPr>
        <w:t xml:space="preserve"> </w:t>
      </w:r>
      <w:r>
        <w:t>male</w:t>
      </w:r>
      <w:r>
        <w:rPr>
          <w:spacing w:val="-11"/>
        </w:rPr>
        <w:t xml:space="preserve"> </w:t>
      </w:r>
      <w:r>
        <w:t>prisoners.</w:t>
      </w:r>
      <w:r>
        <w:rPr>
          <w:spacing w:val="-13"/>
        </w:rPr>
        <w:t xml:space="preserve"> </w:t>
      </w:r>
      <w:r>
        <w:t>It</w:t>
      </w:r>
      <w:r>
        <w:rPr>
          <w:spacing w:val="-10"/>
        </w:rPr>
        <w:t xml:space="preserve"> </w:t>
      </w:r>
      <w:r>
        <w:t>is</w:t>
      </w:r>
      <w:r>
        <w:rPr>
          <w:spacing w:val="-16"/>
        </w:rPr>
        <w:t xml:space="preserve"> </w:t>
      </w:r>
      <w:r>
        <w:t>worth</w:t>
      </w:r>
      <w:r>
        <w:rPr>
          <w:spacing w:val="-14"/>
        </w:rPr>
        <w:t xml:space="preserve"> </w:t>
      </w:r>
      <w:r>
        <w:t>adding a separate prompt when asking about repeated head</w:t>
      </w:r>
      <w:r>
        <w:rPr>
          <w:spacing w:val="-7"/>
        </w:rPr>
        <w:t xml:space="preserve"> </w:t>
      </w:r>
      <w:r>
        <w:t>injuries.</w:t>
      </w:r>
    </w:p>
    <w:p w14:paraId="58F1B1E6" w14:textId="77777777" w:rsidR="006B16E0" w:rsidRDefault="006B16E0">
      <w:pPr>
        <w:pStyle w:val="BodyText"/>
      </w:pPr>
    </w:p>
    <w:p w14:paraId="58F1B1E7" w14:textId="77777777" w:rsidR="006B16E0" w:rsidRDefault="006B16E0">
      <w:pPr>
        <w:pStyle w:val="BodyText"/>
        <w:spacing w:before="5"/>
        <w:rPr>
          <w:sz w:val="25"/>
        </w:rPr>
      </w:pPr>
    </w:p>
    <w:p w14:paraId="58F1B1E8" w14:textId="1308BECA" w:rsidR="006B16E0" w:rsidRDefault="005E225B">
      <w:pPr>
        <w:pStyle w:val="ListParagraph"/>
        <w:numPr>
          <w:ilvl w:val="0"/>
          <w:numId w:val="1"/>
        </w:numPr>
        <w:tabs>
          <w:tab w:val="left" w:pos="841"/>
        </w:tabs>
        <w:spacing w:line="256" w:lineRule="auto"/>
        <w:ind w:right="117"/>
        <w:jc w:val="both"/>
      </w:pPr>
      <w:r>
        <w:t xml:space="preserve">Record a single incident where there </w:t>
      </w:r>
      <w:proofErr w:type="gramStart"/>
      <w:r>
        <w:t>has</w:t>
      </w:r>
      <w:proofErr w:type="gramEnd"/>
      <w:r>
        <w:t xml:space="preserve"> been repeated episodes of knocks to the head as a repeated head injury (</w:t>
      </w:r>
      <w:r w:rsidR="0049386A">
        <w:t>e.g.</w:t>
      </w:r>
      <w:r>
        <w:t xml:space="preserve"> several assaults during a prolonged drinking</w:t>
      </w:r>
      <w:r>
        <w:rPr>
          <w:spacing w:val="-15"/>
        </w:rPr>
        <w:t xml:space="preserve"> </w:t>
      </w:r>
      <w:r>
        <w:t>session).</w:t>
      </w:r>
    </w:p>
    <w:p w14:paraId="58F1B1E9" w14:textId="77777777" w:rsidR="006B16E0" w:rsidRDefault="006B16E0">
      <w:pPr>
        <w:pStyle w:val="BodyText"/>
        <w:spacing w:before="1"/>
        <w:rPr>
          <w:sz w:val="24"/>
        </w:rPr>
      </w:pPr>
    </w:p>
    <w:p w14:paraId="58F1B1EA" w14:textId="77777777" w:rsidR="006B16E0" w:rsidRDefault="005E225B">
      <w:pPr>
        <w:pStyle w:val="ListParagraph"/>
        <w:numPr>
          <w:ilvl w:val="0"/>
          <w:numId w:val="1"/>
        </w:numPr>
        <w:tabs>
          <w:tab w:val="left" w:pos="840"/>
        </w:tabs>
        <w:spacing w:line="259" w:lineRule="auto"/>
        <w:jc w:val="both"/>
      </w:pPr>
      <w:r>
        <w:t>If the individual was in a coma following a head injury and this was medically-induced the brain injury is likely to have been</w:t>
      </w:r>
      <w:r>
        <w:rPr>
          <w:spacing w:val="-7"/>
        </w:rPr>
        <w:t xml:space="preserve"> </w:t>
      </w:r>
      <w:r>
        <w:t>severe</w:t>
      </w:r>
    </w:p>
    <w:p w14:paraId="58F1B1EB" w14:textId="77777777" w:rsidR="006B16E0" w:rsidRDefault="006B16E0">
      <w:pPr>
        <w:pStyle w:val="BodyText"/>
      </w:pPr>
    </w:p>
    <w:p w14:paraId="58F1B1EC" w14:textId="77777777" w:rsidR="006B16E0" w:rsidRDefault="006B16E0">
      <w:pPr>
        <w:pStyle w:val="BodyText"/>
        <w:spacing w:before="5"/>
        <w:rPr>
          <w:sz w:val="25"/>
        </w:rPr>
      </w:pPr>
    </w:p>
    <w:p w14:paraId="58F1B1ED" w14:textId="77777777" w:rsidR="006B16E0" w:rsidRDefault="005E225B">
      <w:pPr>
        <w:pStyle w:val="ListParagraph"/>
        <w:numPr>
          <w:ilvl w:val="0"/>
          <w:numId w:val="1"/>
        </w:numPr>
        <w:tabs>
          <w:tab w:val="left" w:pos="840"/>
        </w:tabs>
        <w:spacing w:before="1" w:line="259" w:lineRule="auto"/>
        <w:jc w:val="both"/>
      </w:pPr>
      <w:r>
        <w:t>If assessing CNS compromise, clarify whether strangulation/choking led to unconsciousness and if so note as potential hypoxic brain</w:t>
      </w:r>
      <w:r>
        <w:rPr>
          <w:spacing w:val="-7"/>
        </w:rPr>
        <w:t xml:space="preserve"> </w:t>
      </w:r>
      <w:r>
        <w:t>injury.</w:t>
      </w:r>
    </w:p>
    <w:p w14:paraId="58F1B1EE" w14:textId="77777777" w:rsidR="006B16E0" w:rsidRDefault="006B16E0">
      <w:pPr>
        <w:pStyle w:val="BodyText"/>
        <w:rPr>
          <w:sz w:val="20"/>
        </w:rPr>
      </w:pPr>
    </w:p>
    <w:p w14:paraId="58F1B1EF" w14:textId="77777777" w:rsidR="006B16E0" w:rsidRDefault="006B16E0">
      <w:pPr>
        <w:pStyle w:val="BodyText"/>
        <w:rPr>
          <w:sz w:val="20"/>
        </w:rPr>
      </w:pPr>
    </w:p>
    <w:p w14:paraId="58F1B1F0" w14:textId="77777777" w:rsidR="006B16E0" w:rsidRDefault="006B16E0">
      <w:pPr>
        <w:pStyle w:val="BodyText"/>
        <w:rPr>
          <w:sz w:val="20"/>
        </w:rPr>
      </w:pPr>
    </w:p>
    <w:p w14:paraId="58F1B1F1" w14:textId="77777777" w:rsidR="006B16E0" w:rsidRDefault="006B16E0">
      <w:pPr>
        <w:pStyle w:val="BodyText"/>
        <w:spacing w:before="5"/>
        <w:rPr>
          <w:sz w:val="23"/>
        </w:rPr>
      </w:pPr>
    </w:p>
    <w:p w14:paraId="58F1B1F2" w14:textId="77777777" w:rsidR="006B16E0" w:rsidRDefault="005E225B">
      <w:pPr>
        <w:pStyle w:val="BodyText"/>
        <w:spacing w:before="56"/>
        <w:ind w:left="120"/>
      </w:pPr>
      <w:r>
        <w:t>Version 1: 26 June 2019</w:t>
      </w:r>
    </w:p>
    <w:sectPr w:rsidR="006B16E0">
      <w:type w:val="continuous"/>
      <w:pgSz w:w="11910" w:h="16840"/>
      <w:pgMar w:top="15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6853"/>
    <w:multiLevelType w:val="hybridMultilevel"/>
    <w:tmpl w:val="1B862864"/>
    <w:lvl w:ilvl="0" w:tplc="FE94FDC0">
      <w:start w:val="1"/>
      <w:numFmt w:val="decimal"/>
      <w:lvlText w:val="%1)"/>
      <w:lvlJc w:val="left"/>
      <w:pPr>
        <w:ind w:left="839" w:hanging="360"/>
        <w:jc w:val="left"/>
      </w:pPr>
      <w:rPr>
        <w:rFonts w:ascii="Calibri" w:eastAsia="Calibri" w:hAnsi="Calibri" w:cs="Calibri" w:hint="default"/>
        <w:w w:val="100"/>
        <w:sz w:val="22"/>
        <w:szCs w:val="22"/>
        <w:lang w:val="en-GB" w:eastAsia="en-GB" w:bidi="en-GB"/>
      </w:rPr>
    </w:lvl>
    <w:lvl w:ilvl="1" w:tplc="6106B404">
      <w:numFmt w:val="bullet"/>
      <w:lvlText w:val="•"/>
      <w:lvlJc w:val="left"/>
      <w:pPr>
        <w:ind w:left="1682" w:hanging="360"/>
      </w:pPr>
      <w:rPr>
        <w:rFonts w:hint="default"/>
        <w:lang w:val="en-GB" w:eastAsia="en-GB" w:bidi="en-GB"/>
      </w:rPr>
    </w:lvl>
    <w:lvl w:ilvl="2" w:tplc="8820B67E">
      <w:numFmt w:val="bullet"/>
      <w:lvlText w:val="•"/>
      <w:lvlJc w:val="left"/>
      <w:pPr>
        <w:ind w:left="2525" w:hanging="360"/>
      </w:pPr>
      <w:rPr>
        <w:rFonts w:hint="default"/>
        <w:lang w:val="en-GB" w:eastAsia="en-GB" w:bidi="en-GB"/>
      </w:rPr>
    </w:lvl>
    <w:lvl w:ilvl="3" w:tplc="B1824756">
      <w:numFmt w:val="bullet"/>
      <w:lvlText w:val="•"/>
      <w:lvlJc w:val="left"/>
      <w:pPr>
        <w:ind w:left="3367" w:hanging="360"/>
      </w:pPr>
      <w:rPr>
        <w:rFonts w:hint="default"/>
        <w:lang w:val="en-GB" w:eastAsia="en-GB" w:bidi="en-GB"/>
      </w:rPr>
    </w:lvl>
    <w:lvl w:ilvl="4" w:tplc="085E7778">
      <w:numFmt w:val="bullet"/>
      <w:lvlText w:val="•"/>
      <w:lvlJc w:val="left"/>
      <w:pPr>
        <w:ind w:left="4210" w:hanging="360"/>
      </w:pPr>
      <w:rPr>
        <w:rFonts w:hint="default"/>
        <w:lang w:val="en-GB" w:eastAsia="en-GB" w:bidi="en-GB"/>
      </w:rPr>
    </w:lvl>
    <w:lvl w:ilvl="5" w:tplc="9F6C88D6">
      <w:numFmt w:val="bullet"/>
      <w:lvlText w:val="•"/>
      <w:lvlJc w:val="left"/>
      <w:pPr>
        <w:ind w:left="5053" w:hanging="360"/>
      </w:pPr>
      <w:rPr>
        <w:rFonts w:hint="default"/>
        <w:lang w:val="en-GB" w:eastAsia="en-GB" w:bidi="en-GB"/>
      </w:rPr>
    </w:lvl>
    <w:lvl w:ilvl="6" w:tplc="1D801F9C">
      <w:numFmt w:val="bullet"/>
      <w:lvlText w:val="•"/>
      <w:lvlJc w:val="left"/>
      <w:pPr>
        <w:ind w:left="5895" w:hanging="360"/>
      </w:pPr>
      <w:rPr>
        <w:rFonts w:hint="default"/>
        <w:lang w:val="en-GB" w:eastAsia="en-GB" w:bidi="en-GB"/>
      </w:rPr>
    </w:lvl>
    <w:lvl w:ilvl="7" w:tplc="29C25172">
      <w:numFmt w:val="bullet"/>
      <w:lvlText w:val="•"/>
      <w:lvlJc w:val="left"/>
      <w:pPr>
        <w:ind w:left="6738" w:hanging="360"/>
      </w:pPr>
      <w:rPr>
        <w:rFonts w:hint="default"/>
        <w:lang w:val="en-GB" w:eastAsia="en-GB" w:bidi="en-GB"/>
      </w:rPr>
    </w:lvl>
    <w:lvl w:ilvl="8" w:tplc="DA56AFA4">
      <w:numFmt w:val="bullet"/>
      <w:lvlText w:val="•"/>
      <w:lvlJc w:val="left"/>
      <w:pPr>
        <w:ind w:left="7581" w:hanging="360"/>
      </w:pPr>
      <w:rPr>
        <w:rFonts w:hint="default"/>
        <w:lang w:val="en-GB" w:eastAsia="en-GB" w:bidi="en-GB"/>
      </w:rPr>
    </w:lvl>
  </w:abstractNum>
  <w:abstractNum w:abstractNumId="1" w15:restartNumberingAfterBreak="0">
    <w:nsid w:val="62911749"/>
    <w:multiLevelType w:val="hybridMultilevel"/>
    <w:tmpl w:val="EC4019D6"/>
    <w:lvl w:ilvl="0" w:tplc="927C0CAC">
      <w:numFmt w:val="bullet"/>
      <w:lvlText w:val=""/>
      <w:lvlJc w:val="left"/>
      <w:pPr>
        <w:ind w:left="839" w:hanging="361"/>
      </w:pPr>
      <w:rPr>
        <w:rFonts w:ascii="Symbol" w:eastAsia="Symbol" w:hAnsi="Symbol" w:cs="Symbol" w:hint="default"/>
        <w:w w:val="100"/>
        <w:sz w:val="22"/>
        <w:szCs w:val="22"/>
        <w:lang w:val="en-GB" w:eastAsia="en-GB" w:bidi="en-GB"/>
      </w:rPr>
    </w:lvl>
    <w:lvl w:ilvl="1" w:tplc="8CBEF7BC">
      <w:numFmt w:val="bullet"/>
      <w:lvlText w:val="•"/>
      <w:lvlJc w:val="left"/>
      <w:pPr>
        <w:ind w:left="1682" w:hanging="361"/>
      </w:pPr>
      <w:rPr>
        <w:rFonts w:hint="default"/>
        <w:lang w:val="en-GB" w:eastAsia="en-GB" w:bidi="en-GB"/>
      </w:rPr>
    </w:lvl>
    <w:lvl w:ilvl="2" w:tplc="7786DFCE">
      <w:numFmt w:val="bullet"/>
      <w:lvlText w:val="•"/>
      <w:lvlJc w:val="left"/>
      <w:pPr>
        <w:ind w:left="2525" w:hanging="361"/>
      </w:pPr>
      <w:rPr>
        <w:rFonts w:hint="default"/>
        <w:lang w:val="en-GB" w:eastAsia="en-GB" w:bidi="en-GB"/>
      </w:rPr>
    </w:lvl>
    <w:lvl w:ilvl="3" w:tplc="651C77D8">
      <w:numFmt w:val="bullet"/>
      <w:lvlText w:val="•"/>
      <w:lvlJc w:val="left"/>
      <w:pPr>
        <w:ind w:left="3367" w:hanging="361"/>
      </w:pPr>
      <w:rPr>
        <w:rFonts w:hint="default"/>
        <w:lang w:val="en-GB" w:eastAsia="en-GB" w:bidi="en-GB"/>
      </w:rPr>
    </w:lvl>
    <w:lvl w:ilvl="4" w:tplc="0784BD4A">
      <w:numFmt w:val="bullet"/>
      <w:lvlText w:val="•"/>
      <w:lvlJc w:val="left"/>
      <w:pPr>
        <w:ind w:left="4210" w:hanging="361"/>
      </w:pPr>
      <w:rPr>
        <w:rFonts w:hint="default"/>
        <w:lang w:val="en-GB" w:eastAsia="en-GB" w:bidi="en-GB"/>
      </w:rPr>
    </w:lvl>
    <w:lvl w:ilvl="5" w:tplc="7930A216">
      <w:numFmt w:val="bullet"/>
      <w:lvlText w:val="•"/>
      <w:lvlJc w:val="left"/>
      <w:pPr>
        <w:ind w:left="5053" w:hanging="361"/>
      </w:pPr>
      <w:rPr>
        <w:rFonts w:hint="default"/>
        <w:lang w:val="en-GB" w:eastAsia="en-GB" w:bidi="en-GB"/>
      </w:rPr>
    </w:lvl>
    <w:lvl w:ilvl="6" w:tplc="D39C933A">
      <w:numFmt w:val="bullet"/>
      <w:lvlText w:val="•"/>
      <w:lvlJc w:val="left"/>
      <w:pPr>
        <w:ind w:left="5895" w:hanging="361"/>
      </w:pPr>
      <w:rPr>
        <w:rFonts w:hint="default"/>
        <w:lang w:val="en-GB" w:eastAsia="en-GB" w:bidi="en-GB"/>
      </w:rPr>
    </w:lvl>
    <w:lvl w:ilvl="7" w:tplc="9DE49A78">
      <w:numFmt w:val="bullet"/>
      <w:lvlText w:val="•"/>
      <w:lvlJc w:val="left"/>
      <w:pPr>
        <w:ind w:left="6738" w:hanging="361"/>
      </w:pPr>
      <w:rPr>
        <w:rFonts w:hint="default"/>
        <w:lang w:val="en-GB" w:eastAsia="en-GB" w:bidi="en-GB"/>
      </w:rPr>
    </w:lvl>
    <w:lvl w:ilvl="8" w:tplc="641C0D34">
      <w:numFmt w:val="bullet"/>
      <w:lvlText w:val="•"/>
      <w:lvlJc w:val="left"/>
      <w:pPr>
        <w:ind w:left="7581" w:hanging="361"/>
      </w:pPr>
      <w:rPr>
        <w:rFonts w:hint="default"/>
        <w:lang w:val="en-GB" w:eastAsia="en-GB" w:bidi="en-GB"/>
      </w:rPr>
    </w:lvl>
  </w:abstractNum>
  <w:num w:numId="1" w16cid:durableId="1226064053">
    <w:abstractNumId w:val="0"/>
  </w:num>
  <w:num w:numId="2" w16cid:durableId="325331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FlRRmLRNOvHNDgBYqXkHS8aoQjhahTiy33gMm+YC6+GIZwhEPjJgcIQrqf6o5DQOlkanbZmDpBKIEkz09y6JQ==" w:salt="+SOrFBJBXv3iECfgdnCBm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E0"/>
    <w:rsid w:val="0022132D"/>
    <w:rsid w:val="0049386A"/>
    <w:rsid w:val="005E225B"/>
    <w:rsid w:val="006B16E0"/>
    <w:rsid w:val="00742F53"/>
    <w:rsid w:val="00A718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B1D3"/>
  <w15:docId w15:val="{379F8325-25D0-4A7D-B136-89DEB3DE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omas.mcmillan@glasgow.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1C221-932D-4DD7-A4FD-D8A993AC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1945</Characters>
  <Application>Microsoft Office Word</Application>
  <DocSecurity>8</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OSU-TBI in a Scottish Prison Population</dc:title>
  <dc:creator>Hira Aslam</dc:creator>
  <cp:lastModifiedBy>Jane Goodfellow</cp:lastModifiedBy>
  <cp:revision>6</cp:revision>
  <dcterms:created xsi:type="dcterms:W3CDTF">2023-08-08T19:11:00Z</dcterms:created>
  <dcterms:modified xsi:type="dcterms:W3CDTF">2023-08-08T19:18:00Z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Acrobat PDFMaker 17 for Word</vt:lpwstr>
  </property>
  <property fmtid="{D5CDD505-2E9C-101B-9397-08002B2CF9AE}" pid="4" name="LastSaved">
    <vt:filetime>2023-08-08T00:00:00Z</vt:filetime>
  </property>
</Properties>
</file>