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9438" w14:textId="77777777" w:rsidR="000624E5" w:rsidRDefault="000B6690" w:rsidP="000B6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Bourgeois Collection</w:t>
      </w:r>
    </w:p>
    <w:p w14:paraId="6946ADB5" w14:textId="24A561D3" w:rsidR="000B6690" w:rsidRDefault="000B6690" w:rsidP="000B6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0C08B" w14:textId="0A63E161" w:rsidR="00262037" w:rsidRDefault="000624E5" w:rsidP="00062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was Henri Bourgeois?  This was the question posed by </w:t>
      </w:r>
      <w:r w:rsidR="00DC6C52">
        <w:rPr>
          <w:rFonts w:ascii="Times New Roman" w:hAnsi="Times New Roman" w:cs="Times New Roman"/>
          <w:sz w:val="24"/>
          <w:szCs w:val="24"/>
        </w:rPr>
        <w:t>Frans Plank</w:t>
      </w:r>
      <w:r w:rsidR="00124E7D">
        <w:rPr>
          <w:rFonts w:ascii="Times New Roman" w:hAnsi="Times New Roman" w:cs="Times New Roman"/>
          <w:sz w:val="24"/>
          <w:szCs w:val="24"/>
        </w:rPr>
        <w:t>,</w:t>
      </w:r>
      <w:r w:rsidR="0026203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262037">
        <w:rPr>
          <w:rFonts w:ascii="Times New Roman" w:hAnsi="Times New Roman" w:cs="Times New Roman"/>
          <w:sz w:val="24"/>
          <w:szCs w:val="24"/>
        </w:rPr>
        <w:t xml:space="preserve"> a German professor of linguistics in a paper presented in 1993</w:t>
      </w:r>
      <w:r w:rsidR="00DC6C52">
        <w:rPr>
          <w:rFonts w:ascii="Times New Roman" w:hAnsi="Times New Roman" w:cs="Times New Roman"/>
          <w:sz w:val="24"/>
          <w:szCs w:val="24"/>
        </w:rPr>
        <w:t xml:space="preserve"> </w:t>
      </w:r>
      <w:r w:rsidR="00262037">
        <w:rPr>
          <w:rFonts w:ascii="Times New Roman" w:hAnsi="Times New Roman" w:cs="Times New Roman"/>
          <w:sz w:val="24"/>
          <w:szCs w:val="24"/>
        </w:rPr>
        <w:t xml:space="preserve">to the </w:t>
      </w:r>
      <w:proofErr w:type="spellStart"/>
      <w:r w:rsidR="00262037" w:rsidRPr="00DC6C52">
        <w:rPr>
          <w:rFonts w:ascii="Times New Roman" w:hAnsi="Times New Roman" w:cs="Times New Roman"/>
          <w:sz w:val="24"/>
          <w:szCs w:val="24"/>
        </w:rPr>
        <w:t>Belgische</w:t>
      </w:r>
      <w:proofErr w:type="spellEnd"/>
      <w:r w:rsidR="00262037" w:rsidRPr="00DC6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037" w:rsidRPr="00DC6C52">
        <w:rPr>
          <w:rFonts w:ascii="Times New Roman" w:hAnsi="Times New Roman" w:cs="Times New Roman"/>
          <w:sz w:val="24"/>
          <w:szCs w:val="24"/>
        </w:rPr>
        <w:t>Kring</w:t>
      </w:r>
      <w:proofErr w:type="spellEnd"/>
      <w:r w:rsidR="00262037" w:rsidRPr="00DC6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037" w:rsidRPr="00DC6C52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="00262037" w:rsidRPr="00DC6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037" w:rsidRPr="00DC6C52">
        <w:rPr>
          <w:rFonts w:ascii="Times New Roman" w:hAnsi="Times New Roman" w:cs="Times New Roman"/>
          <w:sz w:val="24"/>
          <w:szCs w:val="24"/>
        </w:rPr>
        <w:t>Linguïstiek</w:t>
      </w:r>
      <w:proofErr w:type="spellEnd"/>
      <w:r w:rsidR="00262037" w:rsidRPr="00DC6C52">
        <w:rPr>
          <w:rFonts w:ascii="Times New Roman" w:hAnsi="Times New Roman" w:cs="Times New Roman"/>
          <w:sz w:val="24"/>
          <w:szCs w:val="24"/>
        </w:rPr>
        <w:t>/Cercle</w:t>
      </w:r>
      <w:r w:rsidR="00262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037" w:rsidRPr="00DC6C52">
        <w:rPr>
          <w:rFonts w:ascii="Times New Roman" w:hAnsi="Times New Roman" w:cs="Times New Roman"/>
          <w:sz w:val="24"/>
          <w:szCs w:val="24"/>
        </w:rPr>
        <w:t>belge</w:t>
      </w:r>
      <w:proofErr w:type="spellEnd"/>
      <w:r w:rsidR="00262037" w:rsidRPr="00DC6C5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2037" w:rsidRPr="00DC6C52">
        <w:rPr>
          <w:rFonts w:ascii="Times New Roman" w:hAnsi="Times New Roman" w:cs="Times New Roman"/>
          <w:sz w:val="24"/>
          <w:szCs w:val="24"/>
        </w:rPr>
        <w:t>Linguistique</w:t>
      </w:r>
      <w:proofErr w:type="spellEnd"/>
      <w:r w:rsidR="00262037" w:rsidRPr="00DC6C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037" w:rsidRPr="00DC6C52">
        <w:rPr>
          <w:rFonts w:ascii="Times New Roman" w:hAnsi="Times New Roman" w:cs="Times New Roman"/>
          <w:sz w:val="24"/>
          <w:szCs w:val="24"/>
        </w:rPr>
        <w:t>Bruxelles</w:t>
      </w:r>
      <w:proofErr w:type="spellEnd"/>
      <w:r w:rsidR="00262037" w:rsidRPr="00DC6C52">
        <w:rPr>
          <w:rFonts w:ascii="Times New Roman" w:hAnsi="Times New Roman" w:cs="Times New Roman"/>
          <w:sz w:val="24"/>
          <w:szCs w:val="24"/>
        </w:rPr>
        <w:t>/Brussel</w:t>
      </w:r>
      <w:r w:rsidR="00262037">
        <w:rPr>
          <w:rFonts w:ascii="Times New Roman" w:hAnsi="Times New Roman" w:cs="Times New Roman"/>
          <w:sz w:val="24"/>
          <w:szCs w:val="24"/>
        </w:rPr>
        <w:t>.</w:t>
      </w:r>
      <w:r w:rsidR="00376C22">
        <w:rPr>
          <w:rFonts w:ascii="Times New Roman" w:hAnsi="Times New Roman" w:cs="Times New Roman"/>
          <w:sz w:val="24"/>
          <w:szCs w:val="24"/>
        </w:rPr>
        <w:t xml:space="preserve">  </w:t>
      </w:r>
      <w:r w:rsidR="007D65A0">
        <w:rPr>
          <w:rFonts w:ascii="Times New Roman" w:hAnsi="Times New Roman" w:cs="Times New Roman"/>
          <w:sz w:val="24"/>
          <w:szCs w:val="24"/>
        </w:rPr>
        <w:t xml:space="preserve">But despite </w:t>
      </w:r>
      <w:r w:rsidR="00376C22">
        <w:rPr>
          <w:rFonts w:ascii="Times New Roman" w:hAnsi="Times New Roman" w:cs="Times New Roman"/>
          <w:sz w:val="24"/>
          <w:szCs w:val="24"/>
        </w:rPr>
        <w:t>extensive investigation,</w:t>
      </w:r>
      <w:r w:rsidR="007D65A0">
        <w:rPr>
          <w:rFonts w:ascii="Times New Roman" w:hAnsi="Times New Roman" w:cs="Times New Roman"/>
          <w:sz w:val="24"/>
          <w:szCs w:val="24"/>
        </w:rPr>
        <w:t xml:space="preserve"> he concluded that almost nothing could be said with any certainty about this elusive figure other than that</w:t>
      </w:r>
      <w:r w:rsidR="00A62FD3">
        <w:rPr>
          <w:rFonts w:ascii="Times New Roman" w:hAnsi="Times New Roman" w:cs="Times New Roman"/>
          <w:sz w:val="24"/>
          <w:szCs w:val="24"/>
        </w:rPr>
        <w:t xml:space="preserve"> </w:t>
      </w:r>
      <w:r w:rsidR="007D65A0">
        <w:rPr>
          <w:rFonts w:ascii="Times New Roman" w:hAnsi="Times New Roman" w:cs="Times New Roman"/>
          <w:sz w:val="24"/>
          <w:szCs w:val="24"/>
        </w:rPr>
        <w:t xml:space="preserve">he </w:t>
      </w:r>
      <w:r w:rsidR="00FE5EC2">
        <w:rPr>
          <w:rFonts w:ascii="Times New Roman" w:hAnsi="Times New Roman" w:cs="Times New Roman"/>
          <w:sz w:val="24"/>
          <w:szCs w:val="24"/>
        </w:rPr>
        <w:t>lived</w:t>
      </w:r>
      <w:r w:rsidR="007D65A0">
        <w:rPr>
          <w:rFonts w:ascii="Times New Roman" w:hAnsi="Times New Roman" w:cs="Times New Roman"/>
          <w:sz w:val="24"/>
          <w:szCs w:val="24"/>
        </w:rPr>
        <w:t xml:space="preserve"> in </w:t>
      </w:r>
      <w:r w:rsidR="00FE5EC2">
        <w:rPr>
          <w:rFonts w:ascii="Times New Roman" w:hAnsi="Times New Roman" w:cs="Times New Roman"/>
          <w:sz w:val="24"/>
          <w:szCs w:val="24"/>
        </w:rPr>
        <w:t>Belgium</w:t>
      </w:r>
      <w:r w:rsidR="00A62FD3">
        <w:rPr>
          <w:rFonts w:ascii="Times New Roman" w:hAnsi="Times New Roman" w:cs="Times New Roman"/>
          <w:sz w:val="24"/>
          <w:szCs w:val="24"/>
        </w:rPr>
        <w:t xml:space="preserve"> (probably Brussels)</w:t>
      </w:r>
      <w:r w:rsidR="00FE5EC2">
        <w:rPr>
          <w:rFonts w:ascii="Times New Roman" w:hAnsi="Times New Roman" w:cs="Times New Roman"/>
          <w:sz w:val="24"/>
          <w:szCs w:val="24"/>
        </w:rPr>
        <w:t xml:space="preserve"> from 1909 until </w:t>
      </w:r>
      <w:r w:rsidR="001A3352">
        <w:rPr>
          <w:rFonts w:ascii="Times New Roman" w:hAnsi="Times New Roman" w:cs="Times New Roman"/>
          <w:sz w:val="24"/>
          <w:szCs w:val="24"/>
        </w:rPr>
        <w:t xml:space="preserve">ca </w:t>
      </w:r>
      <w:r w:rsidR="00FE5EC2">
        <w:rPr>
          <w:rFonts w:ascii="Times New Roman" w:hAnsi="Times New Roman" w:cs="Times New Roman"/>
          <w:sz w:val="24"/>
          <w:szCs w:val="24"/>
        </w:rPr>
        <w:t>192</w:t>
      </w:r>
      <w:r w:rsidR="004D4701">
        <w:rPr>
          <w:rFonts w:ascii="Times New Roman" w:hAnsi="Times New Roman" w:cs="Times New Roman"/>
          <w:sz w:val="24"/>
          <w:szCs w:val="24"/>
        </w:rPr>
        <w:t>2</w:t>
      </w:r>
      <w:r w:rsidR="007D65A0">
        <w:rPr>
          <w:rFonts w:ascii="Times New Roman" w:hAnsi="Times New Roman" w:cs="Times New Roman"/>
          <w:sz w:val="24"/>
          <w:szCs w:val="24"/>
        </w:rPr>
        <w:t>.</w:t>
      </w:r>
      <w:r w:rsidR="00124E7D">
        <w:rPr>
          <w:rFonts w:ascii="Times New Roman" w:hAnsi="Times New Roman" w:cs="Times New Roman"/>
          <w:sz w:val="24"/>
          <w:szCs w:val="24"/>
        </w:rPr>
        <w:t xml:space="preserve">  </w:t>
      </w:r>
      <w:r w:rsidR="00CD0C77">
        <w:rPr>
          <w:rFonts w:ascii="Times New Roman" w:hAnsi="Times New Roman" w:cs="Times New Roman"/>
          <w:sz w:val="24"/>
          <w:szCs w:val="24"/>
        </w:rPr>
        <w:t>In sharp contrast to this paucity of information about the man</w:t>
      </w:r>
      <w:r w:rsidR="00FE5EC2">
        <w:rPr>
          <w:rFonts w:ascii="Times New Roman" w:hAnsi="Times New Roman" w:cs="Times New Roman"/>
          <w:sz w:val="24"/>
          <w:szCs w:val="24"/>
        </w:rPr>
        <w:t>,</w:t>
      </w:r>
      <w:r w:rsidR="00CD0C77">
        <w:rPr>
          <w:rFonts w:ascii="Times New Roman" w:hAnsi="Times New Roman" w:cs="Times New Roman"/>
          <w:sz w:val="24"/>
          <w:szCs w:val="24"/>
        </w:rPr>
        <w:t xml:space="preserve"> </w:t>
      </w:r>
      <w:r w:rsidR="00961F79">
        <w:rPr>
          <w:rFonts w:ascii="Times New Roman" w:hAnsi="Times New Roman" w:cs="Times New Roman"/>
          <w:sz w:val="24"/>
          <w:szCs w:val="24"/>
        </w:rPr>
        <w:t>he discovered</w:t>
      </w:r>
      <w:r w:rsidR="001511C0">
        <w:rPr>
          <w:rFonts w:ascii="Times New Roman" w:hAnsi="Times New Roman" w:cs="Times New Roman"/>
          <w:sz w:val="24"/>
          <w:szCs w:val="24"/>
        </w:rPr>
        <w:t xml:space="preserve"> that Bourgeois</w:t>
      </w:r>
      <w:r w:rsidR="001511C0" w:rsidRPr="004F57E4">
        <w:rPr>
          <w:rFonts w:ascii="Times New Roman" w:hAnsi="Times New Roman" w:cs="Times New Roman"/>
          <w:sz w:val="24"/>
          <w:szCs w:val="24"/>
        </w:rPr>
        <w:t xml:space="preserve"> </w:t>
      </w:r>
      <w:r w:rsidR="00CD0C77" w:rsidRPr="004F57E4">
        <w:rPr>
          <w:rFonts w:ascii="Times New Roman" w:hAnsi="Times New Roman" w:cs="Times New Roman"/>
          <w:sz w:val="24"/>
          <w:szCs w:val="24"/>
        </w:rPr>
        <w:t>was</w:t>
      </w:r>
      <w:r w:rsidR="00CD0C77">
        <w:rPr>
          <w:rFonts w:ascii="Times New Roman" w:hAnsi="Times New Roman" w:cs="Times New Roman"/>
          <w:sz w:val="24"/>
          <w:szCs w:val="24"/>
        </w:rPr>
        <w:t xml:space="preserve"> </w:t>
      </w:r>
      <w:r w:rsidR="004F57E4">
        <w:rPr>
          <w:rFonts w:ascii="Times New Roman" w:hAnsi="Times New Roman" w:cs="Times New Roman"/>
          <w:sz w:val="24"/>
          <w:szCs w:val="24"/>
        </w:rPr>
        <w:t xml:space="preserve">a </w:t>
      </w:r>
      <w:r w:rsidR="00CD0C77">
        <w:rPr>
          <w:rFonts w:ascii="Times New Roman" w:hAnsi="Times New Roman" w:cs="Times New Roman"/>
          <w:sz w:val="24"/>
          <w:szCs w:val="24"/>
        </w:rPr>
        <w:t>prolific writer of scholarly articles, published</w:t>
      </w:r>
      <w:r w:rsidR="00124E7D">
        <w:rPr>
          <w:rFonts w:ascii="Times New Roman" w:hAnsi="Times New Roman" w:cs="Times New Roman"/>
          <w:sz w:val="24"/>
          <w:szCs w:val="24"/>
        </w:rPr>
        <w:t>,</w:t>
      </w:r>
      <w:r w:rsidR="00FD16A4">
        <w:rPr>
          <w:rFonts w:ascii="Times New Roman" w:hAnsi="Times New Roman" w:cs="Times New Roman"/>
          <w:sz w:val="24"/>
          <w:szCs w:val="24"/>
        </w:rPr>
        <w:t xml:space="preserve"> </w:t>
      </w:r>
      <w:r w:rsidR="00701835">
        <w:rPr>
          <w:rFonts w:ascii="Times New Roman" w:hAnsi="Times New Roman" w:cs="Times New Roman"/>
          <w:sz w:val="24"/>
          <w:szCs w:val="24"/>
        </w:rPr>
        <w:t xml:space="preserve">before and after the First World War, in </w:t>
      </w:r>
      <w:r w:rsidR="00961F79">
        <w:rPr>
          <w:rFonts w:ascii="Times New Roman" w:hAnsi="Times New Roman" w:cs="Times New Roman"/>
          <w:sz w:val="24"/>
          <w:szCs w:val="24"/>
        </w:rPr>
        <w:t xml:space="preserve">many </w:t>
      </w:r>
      <w:r w:rsidR="00701835">
        <w:rPr>
          <w:rFonts w:ascii="Times New Roman" w:hAnsi="Times New Roman" w:cs="Times New Roman"/>
          <w:sz w:val="24"/>
          <w:szCs w:val="24"/>
        </w:rPr>
        <w:t>journals</w:t>
      </w:r>
      <w:r w:rsidR="00923624">
        <w:rPr>
          <w:rFonts w:ascii="Times New Roman" w:hAnsi="Times New Roman" w:cs="Times New Roman"/>
          <w:sz w:val="24"/>
          <w:szCs w:val="24"/>
        </w:rPr>
        <w:t>,</w:t>
      </w:r>
      <w:r w:rsidR="00701835">
        <w:rPr>
          <w:rFonts w:ascii="Times New Roman" w:hAnsi="Times New Roman" w:cs="Times New Roman"/>
          <w:sz w:val="24"/>
          <w:szCs w:val="24"/>
        </w:rPr>
        <w:t xml:space="preserve"> such as</w:t>
      </w:r>
      <w:r w:rsidR="00FD16A4" w:rsidRPr="00FD16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16A4">
        <w:rPr>
          <w:rFonts w:ascii="Times New Roman" w:hAnsi="Times New Roman" w:cs="Times New Roman"/>
          <w:sz w:val="24"/>
          <w:szCs w:val="24"/>
        </w:rPr>
        <w:t xml:space="preserve">the </w:t>
      </w:r>
      <w:r w:rsidR="001E2D25" w:rsidRPr="001E2D25">
        <w:rPr>
          <w:rFonts w:ascii="Times New Roman" w:hAnsi="Times New Roman" w:cs="Times New Roman"/>
          <w:i/>
          <w:iCs/>
          <w:sz w:val="24"/>
          <w:szCs w:val="24"/>
        </w:rPr>
        <w:t xml:space="preserve">Revue de </w:t>
      </w:r>
      <w:proofErr w:type="spellStart"/>
      <w:r w:rsidR="001E2D25" w:rsidRPr="001E2D25">
        <w:rPr>
          <w:rFonts w:ascii="Times New Roman" w:hAnsi="Times New Roman" w:cs="Times New Roman"/>
          <w:i/>
          <w:iCs/>
          <w:sz w:val="24"/>
          <w:szCs w:val="24"/>
        </w:rPr>
        <w:t>Linguistique</w:t>
      </w:r>
      <w:proofErr w:type="spellEnd"/>
      <w:r w:rsidR="001E2D25" w:rsidRPr="001E2D25">
        <w:rPr>
          <w:rFonts w:ascii="Times New Roman" w:hAnsi="Times New Roman" w:cs="Times New Roman"/>
          <w:i/>
          <w:iCs/>
          <w:sz w:val="24"/>
          <w:szCs w:val="24"/>
        </w:rPr>
        <w:t xml:space="preserve"> et de </w:t>
      </w:r>
      <w:proofErr w:type="spellStart"/>
      <w:r w:rsidR="001E2D25" w:rsidRPr="001E2D25">
        <w:rPr>
          <w:rFonts w:ascii="Times New Roman" w:hAnsi="Times New Roman" w:cs="Times New Roman"/>
          <w:i/>
          <w:iCs/>
          <w:sz w:val="24"/>
          <w:szCs w:val="24"/>
        </w:rPr>
        <w:t>Philologie</w:t>
      </w:r>
      <w:proofErr w:type="spellEnd"/>
      <w:r w:rsidR="001E2D25" w:rsidRPr="001E2D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2D25" w:rsidRPr="001E2D25">
        <w:rPr>
          <w:rFonts w:ascii="Times New Roman" w:hAnsi="Times New Roman" w:cs="Times New Roman"/>
          <w:i/>
          <w:iCs/>
          <w:sz w:val="24"/>
          <w:szCs w:val="24"/>
        </w:rPr>
        <w:t>comparée</w:t>
      </w:r>
      <w:proofErr w:type="spellEnd"/>
      <w:r w:rsidR="00FD16A4" w:rsidRPr="00FD16A4">
        <w:rPr>
          <w:rFonts w:ascii="Times New Roman" w:hAnsi="Times New Roman" w:cs="Times New Roman"/>
          <w:sz w:val="24"/>
          <w:szCs w:val="24"/>
        </w:rPr>
        <w:t>,</w:t>
      </w:r>
      <w:r w:rsidR="00FD16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16A4" w:rsidRPr="00FD16A4">
        <w:rPr>
          <w:rFonts w:ascii="Times New Roman" w:hAnsi="Times New Roman" w:cs="Times New Roman"/>
          <w:i/>
          <w:iCs/>
          <w:sz w:val="24"/>
          <w:szCs w:val="24"/>
        </w:rPr>
        <w:t xml:space="preserve">Bulletin de la Société Royale </w:t>
      </w:r>
      <w:proofErr w:type="spellStart"/>
      <w:r w:rsidR="00FD16A4" w:rsidRPr="00FD16A4">
        <w:rPr>
          <w:rFonts w:ascii="Times New Roman" w:hAnsi="Times New Roman" w:cs="Times New Roman"/>
          <w:i/>
          <w:iCs/>
          <w:sz w:val="24"/>
          <w:szCs w:val="24"/>
        </w:rPr>
        <w:t>Belge</w:t>
      </w:r>
      <w:proofErr w:type="spellEnd"/>
      <w:r w:rsidR="00FD16A4" w:rsidRPr="00FD16A4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FD16A4" w:rsidRPr="00FD16A4">
        <w:rPr>
          <w:rFonts w:ascii="Times New Roman" w:hAnsi="Times New Roman" w:cs="Times New Roman"/>
          <w:i/>
          <w:iCs/>
          <w:sz w:val="24"/>
          <w:szCs w:val="24"/>
        </w:rPr>
        <w:t>Géographie</w:t>
      </w:r>
      <w:proofErr w:type="spellEnd"/>
      <w:r w:rsidR="00FD16A4" w:rsidRPr="00FD16A4">
        <w:t xml:space="preserve">, </w:t>
      </w:r>
      <w:r w:rsidR="00FD16A4" w:rsidRPr="00FD16A4">
        <w:rPr>
          <w:rFonts w:ascii="Times New Roman" w:hAnsi="Times New Roman" w:cs="Times New Roman"/>
          <w:sz w:val="24"/>
          <w:szCs w:val="24"/>
        </w:rPr>
        <w:t>and</w:t>
      </w:r>
      <w:r w:rsidR="00FD16A4">
        <w:t xml:space="preserve"> the </w:t>
      </w:r>
      <w:proofErr w:type="spellStart"/>
      <w:r w:rsidR="00FD16A4" w:rsidRPr="00FD16A4">
        <w:rPr>
          <w:rFonts w:ascii="Times New Roman" w:hAnsi="Times New Roman" w:cs="Times New Roman"/>
          <w:i/>
          <w:iCs/>
          <w:sz w:val="24"/>
          <w:szCs w:val="24"/>
        </w:rPr>
        <w:t>Atti</w:t>
      </w:r>
      <w:proofErr w:type="spellEnd"/>
      <w:r w:rsidR="00FD16A4" w:rsidRPr="00FD16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D16A4" w:rsidRPr="00FD16A4">
        <w:rPr>
          <w:rFonts w:ascii="Times New Roman" w:hAnsi="Times New Roman" w:cs="Times New Roman"/>
          <w:i/>
          <w:iCs/>
          <w:sz w:val="24"/>
          <w:szCs w:val="24"/>
        </w:rPr>
        <w:t>della</w:t>
      </w:r>
      <w:proofErr w:type="spellEnd"/>
      <w:r w:rsidR="00FD16A4" w:rsidRPr="00FD16A4">
        <w:rPr>
          <w:rFonts w:ascii="Times New Roman" w:hAnsi="Times New Roman" w:cs="Times New Roman"/>
          <w:i/>
          <w:iCs/>
          <w:sz w:val="24"/>
          <w:szCs w:val="24"/>
        </w:rPr>
        <w:t xml:space="preserve"> R. Accademia </w:t>
      </w:r>
      <w:proofErr w:type="spellStart"/>
      <w:r w:rsidR="00FD16A4" w:rsidRPr="00FD16A4">
        <w:rPr>
          <w:rFonts w:ascii="Times New Roman" w:hAnsi="Times New Roman" w:cs="Times New Roman"/>
          <w:i/>
          <w:iCs/>
          <w:sz w:val="24"/>
          <w:szCs w:val="24"/>
        </w:rPr>
        <w:t>delle</w:t>
      </w:r>
      <w:proofErr w:type="spellEnd"/>
      <w:r w:rsidR="00FD16A4" w:rsidRPr="00FD16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D16A4" w:rsidRPr="00FD16A4">
        <w:rPr>
          <w:rFonts w:ascii="Times New Roman" w:hAnsi="Times New Roman" w:cs="Times New Roman"/>
          <w:i/>
          <w:iCs/>
          <w:sz w:val="24"/>
          <w:szCs w:val="24"/>
        </w:rPr>
        <w:t>Scienze</w:t>
      </w:r>
      <w:proofErr w:type="spellEnd"/>
      <w:r w:rsidR="00FD16A4" w:rsidRPr="00FD16A4">
        <w:rPr>
          <w:rFonts w:ascii="Times New Roman" w:hAnsi="Times New Roman" w:cs="Times New Roman"/>
          <w:i/>
          <w:iCs/>
          <w:sz w:val="24"/>
          <w:szCs w:val="24"/>
        </w:rPr>
        <w:t xml:space="preserve"> di Torino</w:t>
      </w:r>
      <w:r w:rsidR="00FD16A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0F5387B" w14:textId="77777777" w:rsidR="00923624" w:rsidRDefault="00923624" w:rsidP="000624E5">
      <w:pPr>
        <w:rPr>
          <w:rFonts w:ascii="Times New Roman" w:hAnsi="Times New Roman" w:cs="Times New Roman"/>
          <w:sz w:val="24"/>
          <w:szCs w:val="24"/>
        </w:rPr>
      </w:pPr>
    </w:p>
    <w:p w14:paraId="4B6A96C1" w14:textId="4C27C24B" w:rsidR="009245FE" w:rsidRDefault="004F57E4" w:rsidP="00062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</w:t>
      </w:r>
      <w:r w:rsidR="00437F01">
        <w:rPr>
          <w:rFonts w:ascii="Times New Roman" w:hAnsi="Times New Roman" w:cs="Times New Roman"/>
          <w:sz w:val="24"/>
          <w:szCs w:val="24"/>
        </w:rPr>
        <w:t>working on a study of a linguistic phenomenon prevalent in Caucasian and Transcaucasian languages</w:t>
      </w:r>
      <w:r w:rsidR="008959BC">
        <w:rPr>
          <w:rFonts w:ascii="Times New Roman" w:hAnsi="Times New Roman" w:cs="Times New Roman"/>
          <w:sz w:val="24"/>
          <w:szCs w:val="24"/>
        </w:rPr>
        <w:t>,</w:t>
      </w:r>
      <w:r w:rsidR="00437F01">
        <w:rPr>
          <w:rFonts w:ascii="Times New Roman" w:hAnsi="Times New Roman" w:cs="Times New Roman"/>
          <w:sz w:val="24"/>
          <w:szCs w:val="24"/>
        </w:rPr>
        <w:t xml:space="preserve"> amongst others,</w:t>
      </w:r>
      <w:r w:rsidR="00961F7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FE5EC2">
        <w:rPr>
          <w:rFonts w:ascii="Times New Roman" w:hAnsi="Times New Roman" w:cs="Times New Roman"/>
          <w:sz w:val="24"/>
          <w:szCs w:val="24"/>
        </w:rPr>
        <w:t xml:space="preserve"> Professor Plank encountered an </w:t>
      </w:r>
      <w:r w:rsidR="0007237A">
        <w:rPr>
          <w:rFonts w:ascii="Times New Roman" w:hAnsi="Times New Roman" w:cs="Times New Roman"/>
          <w:sz w:val="24"/>
          <w:szCs w:val="24"/>
        </w:rPr>
        <w:t xml:space="preserve">early </w:t>
      </w:r>
      <w:r w:rsidR="00FE5EC2">
        <w:rPr>
          <w:rFonts w:ascii="Times New Roman" w:hAnsi="Times New Roman" w:cs="Times New Roman"/>
          <w:sz w:val="24"/>
          <w:szCs w:val="24"/>
        </w:rPr>
        <w:t>article by Bourgeois on Georgian</w:t>
      </w:r>
      <w:r w:rsidR="00124E7D">
        <w:rPr>
          <w:rFonts w:ascii="Times New Roman" w:hAnsi="Times New Roman" w:cs="Times New Roman"/>
          <w:sz w:val="24"/>
          <w:szCs w:val="24"/>
        </w:rPr>
        <w:t>,</w:t>
      </w:r>
      <w:r w:rsidR="00FE5EC2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FE5EC2">
        <w:rPr>
          <w:rFonts w:ascii="Times New Roman" w:hAnsi="Times New Roman" w:cs="Times New Roman"/>
          <w:sz w:val="24"/>
          <w:szCs w:val="24"/>
        </w:rPr>
        <w:t xml:space="preserve"> </w:t>
      </w:r>
      <w:r w:rsidR="008959BC">
        <w:rPr>
          <w:rFonts w:ascii="Times New Roman" w:hAnsi="Times New Roman" w:cs="Times New Roman"/>
          <w:sz w:val="24"/>
          <w:szCs w:val="24"/>
        </w:rPr>
        <w:t xml:space="preserve">which </w:t>
      </w:r>
      <w:r w:rsidR="0007237A">
        <w:rPr>
          <w:rFonts w:ascii="Times New Roman" w:hAnsi="Times New Roman" w:cs="Times New Roman"/>
          <w:sz w:val="24"/>
          <w:szCs w:val="24"/>
        </w:rPr>
        <w:t>resulted in his quest for more information about its author. However, i</w:t>
      </w:r>
      <w:r w:rsidR="009245FE">
        <w:rPr>
          <w:rFonts w:ascii="Times New Roman" w:hAnsi="Times New Roman" w:cs="Times New Roman"/>
          <w:sz w:val="24"/>
          <w:szCs w:val="24"/>
        </w:rPr>
        <w:t xml:space="preserve">t was only in 2015 that the Library’s Bourgeois Collection came to the attention of Professor Plank and his </w:t>
      </w:r>
      <w:r w:rsidR="00C057EC">
        <w:rPr>
          <w:rFonts w:ascii="Times New Roman" w:hAnsi="Times New Roman" w:cs="Times New Roman"/>
          <w:sz w:val="24"/>
          <w:szCs w:val="24"/>
        </w:rPr>
        <w:t xml:space="preserve">Antwerp </w:t>
      </w:r>
      <w:r w:rsidR="0007237A">
        <w:rPr>
          <w:rFonts w:ascii="Times New Roman" w:hAnsi="Times New Roman" w:cs="Times New Roman"/>
          <w:sz w:val="24"/>
          <w:szCs w:val="24"/>
        </w:rPr>
        <w:t>collaborator</w:t>
      </w:r>
      <w:r w:rsidR="00C057EC">
        <w:rPr>
          <w:rFonts w:ascii="Times New Roman" w:hAnsi="Times New Roman" w:cs="Times New Roman"/>
          <w:sz w:val="24"/>
          <w:szCs w:val="24"/>
        </w:rPr>
        <w:t xml:space="preserve">, </w:t>
      </w:r>
      <w:r w:rsidR="009245FE">
        <w:rPr>
          <w:rFonts w:ascii="Times New Roman" w:hAnsi="Times New Roman" w:cs="Times New Roman"/>
          <w:sz w:val="24"/>
          <w:szCs w:val="24"/>
        </w:rPr>
        <w:t xml:space="preserve">Professor Johan van der </w:t>
      </w:r>
      <w:proofErr w:type="spellStart"/>
      <w:r w:rsidR="009245FE">
        <w:rPr>
          <w:rFonts w:ascii="Times New Roman" w:hAnsi="Times New Roman" w:cs="Times New Roman"/>
          <w:sz w:val="24"/>
          <w:szCs w:val="24"/>
        </w:rPr>
        <w:t>Auwera</w:t>
      </w:r>
      <w:proofErr w:type="spellEnd"/>
      <w:r w:rsidR="0007237A">
        <w:rPr>
          <w:rFonts w:ascii="Times New Roman" w:hAnsi="Times New Roman" w:cs="Times New Roman"/>
          <w:sz w:val="24"/>
          <w:szCs w:val="24"/>
        </w:rPr>
        <w:t>,</w:t>
      </w:r>
      <w:r w:rsidR="009245FE">
        <w:rPr>
          <w:rFonts w:ascii="Times New Roman" w:hAnsi="Times New Roman" w:cs="Times New Roman"/>
          <w:sz w:val="24"/>
          <w:szCs w:val="24"/>
        </w:rPr>
        <w:t xml:space="preserve"> and they made contact.</w:t>
      </w:r>
      <w:r w:rsidR="009245FE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14:paraId="6D3C98ED" w14:textId="48C3AD3D" w:rsidR="00376E7E" w:rsidRDefault="00376E7E" w:rsidP="000624E5">
      <w:pPr>
        <w:rPr>
          <w:rFonts w:ascii="Times New Roman" w:hAnsi="Times New Roman" w:cs="Times New Roman"/>
          <w:sz w:val="24"/>
          <w:szCs w:val="24"/>
        </w:rPr>
      </w:pPr>
    </w:p>
    <w:p w14:paraId="265259A2" w14:textId="4EE84D4E" w:rsidR="004D4701" w:rsidRDefault="001A3352" w:rsidP="00151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Bourgeois </w:t>
      </w:r>
      <w:r w:rsidR="00BA6014">
        <w:rPr>
          <w:rFonts w:ascii="Times New Roman" w:hAnsi="Times New Roman" w:cs="Times New Roman"/>
          <w:sz w:val="24"/>
          <w:szCs w:val="24"/>
        </w:rPr>
        <w:t>arrived in</w:t>
      </w:r>
      <w:r w:rsidR="000153CE">
        <w:rPr>
          <w:rFonts w:ascii="Times New Roman" w:hAnsi="Times New Roman" w:cs="Times New Roman"/>
          <w:sz w:val="24"/>
          <w:szCs w:val="24"/>
        </w:rPr>
        <w:t xml:space="preserve"> Britain as one of the </w:t>
      </w:r>
      <w:r w:rsidR="00A830FD">
        <w:rPr>
          <w:rFonts w:ascii="Times New Roman" w:hAnsi="Times New Roman" w:cs="Times New Roman"/>
          <w:sz w:val="24"/>
          <w:szCs w:val="24"/>
        </w:rPr>
        <w:t>large number</w:t>
      </w:r>
      <w:r w:rsidR="00CB183C">
        <w:rPr>
          <w:rFonts w:ascii="Times New Roman" w:hAnsi="Times New Roman" w:cs="Times New Roman"/>
          <w:sz w:val="24"/>
          <w:szCs w:val="24"/>
        </w:rPr>
        <w:t xml:space="preserve"> of Belgians fleeing the invasion of their country by Germany in August 1914</w:t>
      </w:r>
      <w:r w:rsidR="00405ABD">
        <w:rPr>
          <w:rFonts w:ascii="Times New Roman" w:hAnsi="Times New Roman" w:cs="Times New Roman"/>
          <w:sz w:val="24"/>
          <w:szCs w:val="24"/>
        </w:rPr>
        <w:t>.</w:t>
      </w:r>
      <w:r w:rsidR="00CB183C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ABD">
        <w:rPr>
          <w:rFonts w:ascii="Times New Roman" w:hAnsi="Times New Roman" w:cs="Times New Roman"/>
          <w:sz w:val="24"/>
          <w:szCs w:val="24"/>
        </w:rPr>
        <w:t xml:space="preserve">  It seems he resided in Glasgow during the years 1915-18, and was accorded Special Reader status by the </w:t>
      </w:r>
      <w:r>
        <w:rPr>
          <w:rFonts w:ascii="Times New Roman" w:hAnsi="Times New Roman" w:cs="Times New Roman"/>
          <w:sz w:val="24"/>
          <w:szCs w:val="24"/>
        </w:rPr>
        <w:t>University Library</w:t>
      </w:r>
      <w:r w:rsidR="00405ABD">
        <w:rPr>
          <w:rFonts w:ascii="Times New Roman" w:hAnsi="Times New Roman" w:cs="Times New Roman"/>
          <w:sz w:val="24"/>
          <w:szCs w:val="24"/>
        </w:rPr>
        <w:t xml:space="preserve"> in October 1916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5ABD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 When the war </w:t>
      </w:r>
      <w:r w:rsidR="00F9408C">
        <w:rPr>
          <w:rFonts w:ascii="Times New Roman" w:hAnsi="Times New Roman" w:cs="Times New Roman"/>
          <w:sz w:val="24"/>
          <w:szCs w:val="24"/>
        </w:rPr>
        <w:t>ended,</w:t>
      </w:r>
      <w:r>
        <w:rPr>
          <w:rFonts w:ascii="Times New Roman" w:hAnsi="Times New Roman" w:cs="Times New Roman"/>
          <w:sz w:val="24"/>
          <w:szCs w:val="24"/>
        </w:rPr>
        <w:t xml:space="preserve"> he returned to Belgium</w:t>
      </w:r>
      <w:r w:rsidR="00F9408C">
        <w:rPr>
          <w:rFonts w:ascii="Times New Roman" w:hAnsi="Times New Roman" w:cs="Times New Roman"/>
          <w:sz w:val="24"/>
          <w:szCs w:val="24"/>
        </w:rPr>
        <w:t>, taking up residence in Arlon, a town in south-east Wallonia.  In 1927 he wrote, offering his philological collection to the University Library as gesture of gratitude</w:t>
      </w:r>
      <w:r w:rsidR="004832EE">
        <w:rPr>
          <w:rFonts w:ascii="Times New Roman" w:hAnsi="Times New Roman" w:cs="Times New Roman"/>
          <w:sz w:val="24"/>
          <w:szCs w:val="24"/>
        </w:rPr>
        <w:t xml:space="preserve"> for the Library’s kindness during the war years</w:t>
      </w:r>
      <w:r w:rsidR="00F9408C">
        <w:rPr>
          <w:rFonts w:ascii="Times New Roman" w:hAnsi="Times New Roman" w:cs="Times New Roman"/>
          <w:sz w:val="24"/>
          <w:szCs w:val="24"/>
        </w:rPr>
        <w:t>.</w:t>
      </w:r>
      <w:r w:rsidR="00F9408C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2EE">
        <w:rPr>
          <w:rFonts w:ascii="Times New Roman" w:hAnsi="Times New Roman" w:cs="Times New Roman"/>
          <w:sz w:val="24"/>
          <w:szCs w:val="24"/>
        </w:rPr>
        <w:t xml:space="preserve"> This was readily accepted and the collection was accessioned in 1928.</w:t>
      </w:r>
    </w:p>
    <w:p w14:paraId="5BE9CFE5" w14:textId="77777777" w:rsidR="00F9408C" w:rsidRDefault="00F9408C" w:rsidP="001511C0">
      <w:pPr>
        <w:rPr>
          <w:rFonts w:ascii="Times New Roman" w:hAnsi="Times New Roman" w:cs="Times New Roman"/>
          <w:sz w:val="24"/>
          <w:szCs w:val="24"/>
        </w:rPr>
      </w:pPr>
    </w:p>
    <w:p w14:paraId="511A0623" w14:textId="231DA63B" w:rsidR="00EC78BB" w:rsidRDefault="004832EE" w:rsidP="00151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Comprising </w:t>
      </w:r>
      <w:r w:rsidR="001511C0">
        <w:rPr>
          <w:rFonts w:ascii="Times New Roman" w:hAnsi="Times New Roman" w:cs="Times New Roman"/>
          <w:sz w:val="24"/>
          <w:szCs w:val="24"/>
        </w:rPr>
        <w:t>some 2,000 volumes</w:t>
      </w:r>
      <w:r w:rsidR="00A630C4">
        <w:rPr>
          <w:rFonts w:ascii="Times New Roman" w:hAnsi="Times New Roman" w:cs="Times New Roman"/>
          <w:sz w:val="24"/>
          <w:szCs w:val="24"/>
        </w:rPr>
        <w:t>,</w:t>
      </w:r>
      <w:r w:rsidR="001A3352">
        <w:rPr>
          <w:rFonts w:ascii="Times New Roman" w:hAnsi="Times New Roman" w:cs="Times New Roman"/>
          <w:sz w:val="24"/>
          <w:szCs w:val="24"/>
        </w:rPr>
        <w:t xml:space="preserve"> </w:t>
      </w:r>
      <w:r w:rsidR="001511C0">
        <w:rPr>
          <w:rFonts w:ascii="Times New Roman" w:hAnsi="Times New Roman" w:cs="Times New Roman"/>
          <w:sz w:val="24"/>
          <w:szCs w:val="24"/>
        </w:rPr>
        <w:t>mostly items published in the latter half of the 19</w:t>
      </w:r>
      <w:r w:rsidR="001511C0" w:rsidRPr="005F53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511C0">
        <w:rPr>
          <w:rFonts w:ascii="Times New Roman" w:hAnsi="Times New Roman" w:cs="Times New Roman"/>
          <w:sz w:val="24"/>
          <w:szCs w:val="24"/>
        </w:rPr>
        <w:t xml:space="preserve"> century and the first </w:t>
      </w:r>
      <w:r w:rsidR="00BA6014">
        <w:rPr>
          <w:rFonts w:ascii="Times New Roman" w:hAnsi="Times New Roman" w:cs="Times New Roman"/>
          <w:sz w:val="24"/>
          <w:szCs w:val="24"/>
        </w:rPr>
        <w:t>three</w:t>
      </w:r>
      <w:r w:rsidR="001511C0">
        <w:rPr>
          <w:rFonts w:ascii="Times New Roman" w:hAnsi="Times New Roman" w:cs="Times New Roman"/>
          <w:sz w:val="24"/>
          <w:szCs w:val="24"/>
        </w:rPr>
        <w:t xml:space="preserve"> decades of the 20</w:t>
      </w:r>
      <w:r w:rsidR="001511C0" w:rsidRPr="005F53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F6F3A">
        <w:rPr>
          <w:rFonts w:ascii="Times New Roman" w:hAnsi="Times New Roman" w:cs="Times New Roman"/>
          <w:sz w:val="24"/>
          <w:szCs w:val="24"/>
        </w:rPr>
        <w:t>,</w:t>
      </w:r>
      <w:r w:rsidR="00A63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collection </w:t>
      </w:r>
      <w:r w:rsidR="00A630C4">
        <w:rPr>
          <w:rFonts w:ascii="Times New Roman" w:hAnsi="Times New Roman" w:cs="Times New Roman"/>
          <w:sz w:val="24"/>
          <w:szCs w:val="24"/>
        </w:rPr>
        <w:t>deal</w:t>
      </w:r>
      <w:r>
        <w:rPr>
          <w:rFonts w:ascii="Times New Roman" w:hAnsi="Times New Roman" w:cs="Times New Roman"/>
          <w:sz w:val="24"/>
          <w:szCs w:val="24"/>
        </w:rPr>
        <w:t>s</w:t>
      </w:r>
      <w:r w:rsidR="00A630C4">
        <w:rPr>
          <w:rFonts w:ascii="Times New Roman" w:hAnsi="Times New Roman" w:cs="Times New Roman"/>
          <w:sz w:val="24"/>
          <w:szCs w:val="24"/>
        </w:rPr>
        <w:t xml:space="preserve"> with </w:t>
      </w:r>
      <w:r w:rsidR="00CF6F3A">
        <w:rPr>
          <w:rFonts w:ascii="Times New Roman" w:hAnsi="Times New Roman" w:cs="Times New Roman"/>
          <w:sz w:val="24"/>
          <w:szCs w:val="24"/>
        </w:rPr>
        <w:t xml:space="preserve">a wide range of </w:t>
      </w:r>
      <w:r w:rsidR="00A630C4">
        <w:rPr>
          <w:rFonts w:ascii="Times New Roman" w:hAnsi="Times New Roman" w:cs="Times New Roman"/>
          <w:sz w:val="24"/>
          <w:szCs w:val="24"/>
        </w:rPr>
        <w:t>languages and literature</w:t>
      </w:r>
      <w:r w:rsidR="001511C0">
        <w:rPr>
          <w:rFonts w:ascii="Times New Roman" w:hAnsi="Times New Roman" w:cs="Times New Roman"/>
          <w:sz w:val="24"/>
          <w:szCs w:val="24"/>
        </w:rPr>
        <w:t xml:space="preserve">.  </w:t>
      </w:r>
      <w:r w:rsidR="00EC78BB">
        <w:rPr>
          <w:rFonts w:ascii="Times New Roman" w:hAnsi="Times New Roman" w:cs="Times New Roman"/>
          <w:sz w:val="24"/>
          <w:szCs w:val="24"/>
        </w:rPr>
        <w:t>Not long after its rec</w:t>
      </w:r>
      <w:r w:rsidR="00DE44D3">
        <w:rPr>
          <w:rFonts w:ascii="Times New Roman" w:hAnsi="Times New Roman" w:cs="Times New Roman"/>
          <w:sz w:val="24"/>
          <w:szCs w:val="24"/>
        </w:rPr>
        <w:t>eption</w:t>
      </w:r>
      <w:r w:rsidR="00EC78BB">
        <w:rPr>
          <w:rFonts w:ascii="Times New Roman" w:hAnsi="Times New Roman" w:cs="Times New Roman"/>
          <w:sz w:val="24"/>
          <w:szCs w:val="24"/>
        </w:rPr>
        <w:t>, a</w:t>
      </w:r>
      <w:r w:rsidR="00EC78BB" w:rsidRPr="00EC78BB">
        <w:rPr>
          <w:rFonts w:ascii="Times New Roman" w:hAnsi="Times New Roman" w:cs="Times New Roman"/>
          <w:sz w:val="24"/>
          <w:szCs w:val="24"/>
        </w:rPr>
        <w:t>n article was published dealing with a section of the collection</w:t>
      </w:r>
      <w:r w:rsidR="00EC78BB">
        <w:rPr>
          <w:rFonts w:ascii="Times New Roman" w:hAnsi="Times New Roman" w:cs="Times New Roman"/>
          <w:sz w:val="24"/>
          <w:szCs w:val="24"/>
        </w:rPr>
        <w:t>.</w:t>
      </w:r>
      <w:r w:rsidR="00EC78BB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EC78BB" w:rsidRPr="00EC78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B6617" w14:textId="77777777" w:rsidR="00EC78BB" w:rsidRDefault="00EC78BB" w:rsidP="001511C0">
      <w:pPr>
        <w:rPr>
          <w:rFonts w:ascii="Times New Roman" w:hAnsi="Times New Roman" w:cs="Times New Roman"/>
          <w:sz w:val="24"/>
          <w:szCs w:val="24"/>
        </w:rPr>
      </w:pPr>
    </w:p>
    <w:p w14:paraId="5EEA844E" w14:textId="00990EA8" w:rsidR="001511C0" w:rsidRDefault="004832EE" w:rsidP="00151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However</w:t>
      </w:r>
      <w:r w:rsidR="00A830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4171FD">
        <w:rPr>
          <w:rFonts w:ascii="Times New Roman" w:hAnsi="Times New Roman" w:cs="Times New Roman"/>
          <w:sz w:val="24"/>
          <w:szCs w:val="24"/>
        </w:rPr>
        <w:t xml:space="preserve"> </w:t>
      </w:r>
      <w:r w:rsidR="002348F2">
        <w:rPr>
          <w:rFonts w:ascii="Times New Roman" w:hAnsi="Times New Roman" w:cs="Times New Roman"/>
          <w:sz w:val="24"/>
          <w:szCs w:val="24"/>
        </w:rPr>
        <w:t xml:space="preserve">remains </w:t>
      </w:r>
      <w:r w:rsidR="005A3BDF">
        <w:rPr>
          <w:rFonts w:ascii="Times New Roman" w:hAnsi="Times New Roman" w:cs="Times New Roman"/>
          <w:sz w:val="24"/>
          <w:szCs w:val="24"/>
        </w:rPr>
        <w:t xml:space="preserve">largely </w:t>
      </w:r>
      <w:r w:rsidR="00A630C4">
        <w:rPr>
          <w:rFonts w:ascii="Times New Roman" w:hAnsi="Times New Roman" w:cs="Times New Roman"/>
          <w:sz w:val="24"/>
          <w:szCs w:val="24"/>
        </w:rPr>
        <w:t>uncatalogued</w:t>
      </w:r>
      <w:r w:rsidR="00CF6F3A">
        <w:rPr>
          <w:rFonts w:ascii="Times New Roman" w:hAnsi="Times New Roman" w:cs="Times New Roman"/>
          <w:sz w:val="24"/>
          <w:szCs w:val="24"/>
        </w:rPr>
        <w:t>:  a</w:t>
      </w:r>
      <w:r w:rsidR="001511C0">
        <w:rPr>
          <w:rFonts w:ascii="Times New Roman" w:hAnsi="Times New Roman" w:cs="Times New Roman"/>
          <w:sz w:val="24"/>
          <w:szCs w:val="24"/>
        </w:rPr>
        <w:t>n initial, and very superficial survey gives the following approximate data on a selection of t</w:t>
      </w:r>
      <w:r w:rsidR="00CF6F3A">
        <w:rPr>
          <w:rFonts w:ascii="Times New Roman" w:hAnsi="Times New Roman" w:cs="Times New Roman"/>
          <w:sz w:val="24"/>
          <w:szCs w:val="24"/>
        </w:rPr>
        <w:t>h</w:t>
      </w:r>
      <w:r w:rsidR="001511C0">
        <w:rPr>
          <w:rFonts w:ascii="Times New Roman" w:hAnsi="Times New Roman" w:cs="Times New Roman"/>
          <w:sz w:val="24"/>
          <w:szCs w:val="24"/>
        </w:rPr>
        <w:t xml:space="preserve">e </w:t>
      </w:r>
      <w:r w:rsidR="004D4701">
        <w:rPr>
          <w:rFonts w:ascii="Times New Roman" w:hAnsi="Times New Roman" w:cs="Times New Roman"/>
          <w:sz w:val="24"/>
          <w:szCs w:val="24"/>
        </w:rPr>
        <w:t xml:space="preserve">more unusual </w:t>
      </w:r>
      <w:r w:rsidR="001511C0">
        <w:rPr>
          <w:rFonts w:ascii="Times New Roman" w:hAnsi="Times New Roman" w:cs="Times New Roman"/>
          <w:sz w:val="24"/>
          <w:szCs w:val="24"/>
        </w:rPr>
        <w:t>languages represented:</w:t>
      </w:r>
    </w:p>
    <w:p w14:paraId="721B3E24" w14:textId="77777777" w:rsidR="00EC78BB" w:rsidRDefault="00EC78BB" w:rsidP="001511C0">
      <w:pPr>
        <w:rPr>
          <w:rFonts w:ascii="Times New Roman" w:hAnsi="Times New Roman" w:cs="Times New Roman"/>
          <w:sz w:val="24"/>
          <w:szCs w:val="24"/>
        </w:rPr>
      </w:pPr>
    </w:p>
    <w:p w14:paraId="40E949A9" w14:textId="47C88175" w:rsidR="001511C0" w:rsidRDefault="001511C0" w:rsidP="00151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Armenian: 90 items</w:t>
      </w:r>
      <w:r w:rsidR="004B055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mostly publications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Mekhitarist</w:t>
      </w:r>
      <w:proofErr w:type="spellEnd"/>
      <w:r w:rsidR="00BA6014">
        <w:rPr>
          <w:rFonts w:ascii="Times New Roman" w:hAnsi="Times New Roman" w:cs="Times New Roman"/>
          <w:sz w:val="24"/>
          <w:szCs w:val="24"/>
        </w:rPr>
        <w:t xml:space="preserve"> religious order</w:t>
      </w:r>
      <w:r>
        <w:rPr>
          <w:rFonts w:ascii="Times New Roman" w:hAnsi="Times New Roman" w:cs="Times New Roman"/>
          <w:sz w:val="24"/>
          <w:szCs w:val="24"/>
        </w:rPr>
        <w:t xml:space="preserve"> at San Lazzaro in Venice</w:t>
      </w:r>
      <w:r w:rsidR="004B05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BBB7B4" w14:textId="77777777" w:rsidR="001511C0" w:rsidRDefault="001511C0" w:rsidP="00151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Albanian : 30</w:t>
      </w:r>
    </w:p>
    <w:p w14:paraId="4C835007" w14:textId="77777777" w:rsidR="001511C0" w:rsidRDefault="001511C0" w:rsidP="00151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Basque: 21</w:t>
      </w:r>
    </w:p>
    <w:p w14:paraId="64A1FC00" w14:textId="77777777" w:rsidR="001511C0" w:rsidRDefault="001511C0" w:rsidP="001511C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Concani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(Marathi):  40</w:t>
      </w:r>
    </w:p>
    <w:p w14:paraId="354D7593" w14:textId="77777777" w:rsidR="001511C0" w:rsidRDefault="001511C0" w:rsidP="00151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Georgian: 16</w:t>
      </w:r>
    </w:p>
    <w:p w14:paraId="77A45F9E" w14:textId="77777777" w:rsidR="001511C0" w:rsidRDefault="001511C0" w:rsidP="00151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Indo-Iranian: 30</w:t>
      </w:r>
    </w:p>
    <w:p w14:paraId="77F51AB8" w14:textId="77777777" w:rsidR="001511C0" w:rsidRDefault="001511C0" w:rsidP="001511C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Rhaeto-Romantsch</w:t>
      </w:r>
      <w:proofErr w:type="spellEnd"/>
      <w:r>
        <w:rPr>
          <w:rFonts w:ascii="Times New Roman" w:hAnsi="Times New Roman" w:cs="Times New Roman"/>
          <w:sz w:val="24"/>
          <w:szCs w:val="24"/>
        </w:rPr>
        <w:t>:  33</w:t>
      </w:r>
    </w:p>
    <w:p w14:paraId="110EFB75" w14:textId="77777777" w:rsidR="001511C0" w:rsidRDefault="001511C0" w:rsidP="00151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Sami/Lapp: 16</w:t>
      </w:r>
    </w:p>
    <w:p w14:paraId="06D17FAA" w14:textId="77777777" w:rsidR="001511C0" w:rsidRDefault="001511C0" w:rsidP="00151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Semitic languages (including Maltese, 13):  242</w:t>
      </w:r>
    </w:p>
    <w:p w14:paraId="2E1B4D2A" w14:textId="2AF7726B" w:rsidR="001511C0" w:rsidRDefault="001511C0" w:rsidP="00151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Turkic languages</w:t>
      </w:r>
      <w:r w:rsidR="004D4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(including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Karamanli</w:t>
      </w:r>
      <w:proofErr w:type="spellEnd"/>
      <w:r>
        <w:rPr>
          <w:rFonts w:ascii="Times New Roman" w:hAnsi="Times New Roman" w:cs="Times New Roman"/>
          <w:sz w:val="24"/>
          <w:szCs w:val="24"/>
        </w:rPr>
        <w:t>, 6): 60</w:t>
      </w:r>
    </w:p>
    <w:p w14:paraId="686C04C5" w14:textId="4D0AF7BC" w:rsidR="001511C0" w:rsidRDefault="001511C0" w:rsidP="00151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Yiddish: 71</w:t>
      </w:r>
      <w:r w:rsidR="00536BCE">
        <w:rPr>
          <w:rFonts w:ascii="Times New Roman" w:hAnsi="Times New Roman" w:cs="Times New Roman"/>
          <w:sz w:val="24"/>
          <w:szCs w:val="24"/>
        </w:rPr>
        <w:t>.</w:t>
      </w:r>
    </w:p>
    <w:p w14:paraId="12FFE278" w14:textId="71ED3A20" w:rsidR="001511C0" w:rsidRDefault="001511C0" w:rsidP="001511C0">
      <w:pPr>
        <w:rPr>
          <w:rFonts w:ascii="Times New Roman" w:hAnsi="Times New Roman" w:cs="Times New Roman"/>
          <w:sz w:val="24"/>
          <w:szCs w:val="24"/>
        </w:rPr>
      </w:pPr>
    </w:p>
    <w:p w14:paraId="3F4D47D8" w14:textId="12CA0868" w:rsidR="005C5DCE" w:rsidRDefault="005C5DCE">
      <w:pPr>
        <w:rPr>
          <w:rFonts w:ascii="Times New Roman" w:hAnsi="Times New Roman" w:cs="Times New Roman"/>
          <w:sz w:val="24"/>
          <w:szCs w:val="24"/>
        </w:rPr>
      </w:pPr>
    </w:p>
    <w:p w14:paraId="6BB13693" w14:textId="08879978" w:rsidR="005C5DCE" w:rsidRDefault="005C5DCE">
      <w:pPr>
        <w:rPr>
          <w:rFonts w:ascii="Times New Roman" w:hAnsi="Times New Roman" w:cs="Times New Roman"/>
          <w:sz w:val="24"/>
          <w:szCs w:val="24"/>
        </w:rPr>
      </w:pPr>
    </w:p>
    <w:p w14:paraId="55175201" w14:textId="7AB1E027" w:rsidR="005C5DCE" w:rsidRDefault="005C5DCE">
      <w:pPr>
        <w:rPr>
          <w:rFonts w:ascii="Times New Roman" w:hAnsi="Times New Roman" w:cs="Times New Roman"/>
          <w:sz w:val="24"/>
          <w:szCs w:val="24"/>
        </w:rPr>
      </w:pPr>
    </w:p>
    <w:p w14:paraId="14F138AC" w14:textId="0517E5BF" w:rsidR="005C5DCE" w:rsidRDefault="005C5DCE">
      <w:pPr>
        <w:rPr>
          <w:rFonts w:ascii="Times New Roman" w:hAnsi="Times New Roman" w:cs="Times New Roman"/>
          <w:sz w:val="24"/>
          <w:szCs w:val="24"/>
        </w:rPr>
      </w:pPr>
    </w:p>
    <w:p w14:paraId="68FC3932" w14:textId="42124E09" w:rsidR="005C5DCE" w:rsidRDefault="005C5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Weston</w:t>
      </w:r>
    </w:p>
    <w:p w14:paraId="53488A28" w14:textId="5222A7CF" w:rsidR="005C5DCE" w:rsidRDefault="00222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</w:t>
      </w:r>
      <w:r w:rsidR="005C5DCE">
        <w:rPr>
          <w:rFonts w:ascii="Times New Roman" w:hAnsi="Times New Roman" w:cs="Times New Roman"/>
          <w:sz w:val="24"/>
          <w:szCs w:val="24"/>
        </w:rPr>
        <w:t>, 2022</w:t>
      </w:r>
    </w:p>
    <w:p w14:paraId="45C08745" w14:textId="77777777" w:rsidR="006A40F5" w:rsidRDefault="006A40F5">
      <w:pPr>
        <w:rPr>
          <w:rFonts w:ascii="Times New Roman" w:hAnsi="Times New Roman" w:cs="Times New Roman"/>
          <w:sz w:val="24"/>
          <w:szCs w:val="24"/>
        </w:rPr>
      </w:pPr>
    </w:p>
    <w:p w14:paraId="06123A43" w14:textId="77777777" w:rsidR="005555E7" w:rsidRDefault="005555E7">
      <w:pPr>
        <w:rPr>
          <w:rFonts w:ascii="Times New Roman" w:hAnsi="Times New Roman" w:cs="Times New Roman"/>
          <w:sz w:val="24"/>
          <w:szCs w:val="24"/>
        </w:rPr>
      </w:pPr>
    </w:p>
    <w:p w14:paraId="506AC46F" w14:textId="77777777" w:rsidR="005555E7" w:rsidRDefault="005555E7">
      <w:pPr>
        <w:rPr>
          <w:rFonts w:ascii="Times New Roman" w:hAnsi="Times New Roman" w:cs="Times New Roman"/>
          <w:sz w:val="24"/>
          <w:szCs w:val="24"/>
        </w:rPr>
      </w:pPr>
    </w:p>
    <w:p w14:paraId="0A7F0CFD" w14:textId="77777777" w:rsidR="006A40F5" w:rsidRDefault="006A40F5">
      <w:pPr>
        <w:rPr>
          <w:rFonts w:ascii="Times New Roman" w:hAnsi="Times New Roman" w:cs="Times New Roman"/>
          <w:sz w:val="24"/>
          <w:szCs w:val="24"/>
        </w:rPr>
      </w:pPr>
    </w:p>
    <w:p w14:paraId="47220AD8" w14:textId="77777777" w:rsidR="005555E7" w:rsidRDefault="005555E7">
      <w:pPr>
        <w:rPr>
          <w:rFonts w:ascii="Times New Roman" w:hAnsi="Times New Roman" w:cs="Times New Roman"/>
          <w:sz w:val="24"/>
          <w:szCs w:val="24"/>
        </w:rPr>
      </w:pPr>
    </w:p>
    <w:p w14:paraId="3E416B4C" w14:textId="77777777" w:rsidR="009F2C34" w:rsidRPr="00C449B0" w:rsidRDefault="009F2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F2C34" w:rsidRPr="00C44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1818" w14:textId="77777777" w:rsidR="00262037" w:rsidRDefault="00262037" w:rsidP="00262037">
      <w:pPr>
        <w:spacing w:line="240" w:lineRule="auto"/>
      </w:pPr>
      <w:r>
        <w:separator/>
      </w:r>
    </w:p>
  </w:endnote>
  <w:endnote w:type="continuationSeparator" w:id="0">
    <w:p w14:paraId="352474ED" w14:textId="77777777" w:rsidR="00262037" w:rsidRDefault="00262037" w:rsidP="002620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8C5B" w14:textId="77777777" w:rsidR="00262037" w:rsidRDefault="00262037" w:rsidP="00262037">
      <w:pPr>
        <w:spacing w:line="240" w:lineRule="auto"/>
      </w:pPr>
      <w:r>
        <w:separator/>
      </w:r>
    </w:p>
  </w:footnote>
  <w:footnote w:type="continuationSeparator" w:id="0">
    <w:p w14:paraId="46A806BA" w14:textId="77777777" w:rsidR="00262037" w:rsidRDefault="00262037" w:rsidP="00262037">
      <w:pPr>
        <w:spacing w:line="240" w:lineRule="auto"/>
      </w:pPr>
      <w:r>
        <w:continuationSeparator/>
      </w:r>
    </w:p>
  </w:footnote>
  <w:footnote w:id="1">
    <w:p w14:paraId="429D6DE8" w14:textId="34F203C0" w:rsidR="009245FE" w:rsidRPr="00FE5EC2" w:rsidRDefault="002620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9245FE" w:rsidRPr="00013858">
          <w:rPr>
            <w:rStyle w:val="Hyperlink"/>
          </w:rPr>
          <w:t>https://ling.sprachwiss.uni-konstanz.de/pages/home/plank/</w:t>
        </w:r>
      </w:hyperlink>
    </w:p>
  </w:footnote>
  <w:footnote w:id="2">
    <w:p w14:paraId="5718F932" w14:textId="4061ED0D" w:rsidR="00961F79" w:rsidRPr="00961F79" w:rsidRDefault="00961F79" w:rsidP="00437F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37F01">
        <w:t xml:space="preserve">F. Plank (ed.) </w:t>
      </w:r>
      <w:r w:rsidR="00437F01" w:rsidRPr="00437F01">
        <w:rPr>
          <w:i/>
          <w:iCs/>
        </w:rPr>
        <w:t>Double case: agreement by Suffixaufnahme</w:t>
      </w:r>
      <w:r w:rsidR="00437F01">
        <w:t xml:space="preserve">, </w:t>
      </w:r>
      <w:r w:rsidR="00E93F0C">
        <w:t xml:space="preserve">Oxford, </w:t>
      </w:r>
      <w:r w:rsidR="00437F01">
        <w:t>1995</w:t>
      </w:r>
    </w:p>
  </w:footnote>
  <w:footnote w:id="3">
    <w:p w14:paraId="34A4F092" w14:textId="40533D39" w:rsidR="00FE5EC2" w:rsidRPr="00FE5EC2" w:rsidRDefault="00FE5EC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0A280B">
        <w:t xml:space="preserve">Henri Bourgeois, </w:t>
      </w:r>
      <w:r w:rsidRPr="00FE5EC2">
        <w:t xml:space="preserve">‘Notes sur la </w:t>
      </w:r>
      <w:proofErr w:type="spellStart"/>
      <w:r w:rsidRPr="00FE5EC2">
        <w:t>déclinaison</w:t>
      </w:r>
      <w:proofErr w:type="spellEnd"/>
      <w:r w:rsidRPr="00FE5EC2">
        <w:t xml:space="preserve"> </w:t>
      </w:r>
      <w:proofErr w:type="spellStart"/>
      <w:r w:rsidRPr="00FE5EC2">
        <w:t>en</w:t>
      </w:r>
      <w:proofErr w:type="spellEnd"/>
      <w:r w:rsidRPr="00FE5EC2">
        <w:t xml:space="preserve"> </w:t>
      </w:r>
      <w:proofErr w:type="spellStart"/>
      <w:r w:rsidRPr="00FE5EC2">
        <w:t>vieux-Géorgien</w:t>
      </w:r>
      <w:proofErr w:type="spellEnd"/>
      <w:r w:rsidRPr="00FE5EC2">
        <w:t>’</w:t>
      </w:r>
      <w:r w:rsidR="000A280B">
        <w:t xml:space="preserve"> </w:t>
      </w:r>
      <w:r w:rsidR="000A280B" w:rsidRPr="000A280B">
        <w:rPr>
          <w:i/>
          <w:iCs/>
        </w:rPr>
        <w:t xml:space="preserve">Revue de </w:t>
      </w:r>
      <w:proofErr w:type="spellStart"/>
      <w:r w:rsidR="000A280B" w:rsidRPr="000A280B">
        <w:rPr>
          <w:i/>
          <w:iCs/>
        </w:rPr>
        <w:t>Linguistique</w:t>
      </w:r>
      <w:proofErr w:type="spellEnd"/>
      <w:r w:rsidR="000A280B" w:rsidRPr="000A280B">
        <w:rPr>
          <w:i/>
          <w:iCs/>
        </w:rPr>
        <w:t xml:space="preserve"> et de </w:t>
      </w:r>
      <w:proofErr w:type="spellStart"/>
      <w:r w:rsidR="000A280B" w:rsidRPr="000A280B">
        <w:rPr>
          <w:i/>
          <w:iCs/>
        </w:rPr>
        <w:t>Philologie</w:t>
      </w:r>
      <w:proofErr w:type="spellEnd"/>
      <w:r w:rsidR="000A280B" w:rsidRPr="000A280B">
        <w:rPr>
          <w:i/>
          <w:iCs/>
        </w:rPr>
        <w:t xml:space="preserve"> </w:t>
      </w:r>
      <w:proofErr w:type="spellStart"/>
      <w:r w:rsidR="000A280B" w:rsidRPr="000A280B">
        <w:rPr>
          <w:i/>
          <w:iCs/>
        </w:rPr>
        <w:t>comparée</w:t>
      </w:r>
      <w:proofErr w:type="spellEnd"/>
      <w:r w:rsidR="000A280B" w:rsidRPr="000A280B">
        <w:t>, 1909</w:t>
      </w:r>
      <w:r w:rsidR="000A280B">
        <w:t>.</w:t>
      </w:r>
    </w:p>
  </w:footnote>
  <w:footnote w:id="4">
    <w:p w14:paraId="2D459CE8" w14:textId="2A8D308D" w:rsidR="00CB183C" w:rsidRPr="00CB183C" w:rsidRDefault="009245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13858">
          <w:rPr>
            <w:rStyle w:val="Hyperlink"/>
          </w:rPr>
          <w:t>https://www.degruyter.com/document/doi/10.1515/lingty-2017-1001/html?lang=en</w:t>
        </w:r>
      </w:hyperlink>
    </w:p>
  </w:footnote>
  <w:footnote w:id="5">
    <w:p w14:paraId="4D16DE7E" w14:textId="0FDE6CFE" w:rsidR="00CB183C" w:rsidRPr="00F9408C" w:rsidRDefault="00CB183C">
      <w:pPr>
        <w:pStyle w:val="FootnoteText"/>
      </w:pPr>
      <w:r>
        <w:rPr>
          <w:rStyle w:val="FootnoteReference"/>
        </w:rPr>
        <w:footnoteRef/>
      </w:r>
      <w:r>
        <w:t xml:space="preserve"> It is estimated that around 250,000 </w:t>
      </w:r>
      <w:r w:rsidR="00E93F0C">
        <w:t xml:space="preserve">Belgian </w:t>
      </w:r>
      <w:r>
        <w:t xml:space="preserve">refugees came to Britain. </w:t>
      </w:r>
      <w:r w:rsidR="00E93F0C" w:rsidRPr="00E93F0C">
        <w:t xml:space="preserve">Denise </w:t>
      </w:r>
      <w:proofErr w:type="spellStart"/>
      <w:r w:rsidR="00E93F0C" w:rsidRPr="00E93F0C">
        <w:t>Winterman</w:t>
      </w:r>
      <w:proofErr w:type="spellEnd"/>
      <w:r w:rsidR="00E93F0C">
        <w:t>,</w:t>
      </w:r>
      <w:r w:rsidR="00E93F0C" w:rsidRPr="00E93F0C">
        <w:t xml:space="preserve"> ‘World War One: How 250,000 Belgian refugees didn't leave a trace’</w:t>
      </w:r>
      <w:r w:rsidR="00E93F0C">
        <w:t xml:space="preserve"> </w:t>
      </w:r>
      <w:hyperlink r:id="rId3" w:history="1">
        <w:r w:rsidR="00E93F0C" w:rsidRPr="00FD3F90">
          <w:rPr>
            <w:rStyle w:val="Hyperlink"/>
          </w:rPr>
          <w:t>https://www.bbc.co.uk/news/magazine-28857769</w:t>
        </w:r>
      </w:hyperlink>
    </w:p>
  </w:footnote>
  <w:footnote w:id="6">
    <w:p w14:paraId="41A31681" w14:textId="371EF0C0" w:rsidR="00405ABD" w:rsidRPr="00405ABD" w:rsidRDefault="00405AB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Library Committee Minutes, </w:t>
      </w:r>
      <w:r w:rsidR="00A62FD3">
        <w:rPr>
          <w:lang w:val="en-US"/>
        </w:rPr>
        <w:t>20</w:t>
      </w:r>
      <w:r w:rsidR="00A62FD3" w:rsidRPr="00A62FD3">
        <w:rPr>
          <w:vertAlign w:val="superscript"/>
          <w:lang w:val="en-US"/>
        </w:rPr>
        <w:t>th</w:t>
      </w:r>
      <w:r w:rsidR="00A62FD3">
        <w:rPr>
          <w:lang w:val="en-US"/>
        </w:rPr>
        <w:t xml:space="preserve"> </w:t>
      </w:r>
      <w:r>
        <w:rPr>
          <w:lang w:val="en-US"/>
        </w:rPr>
        <w:t>October, 1916.</w:t>
      </w:r>
    </w:p>
  </w:footnote>
  <w:footnote w:id="7">
    <w:p w14:paraId="3976F6D9" w14:textId="3906D030" w:rsidR="00F9408C" w:rsidRPr="00F9408C" w:rsidRDefault="00F9408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Library Committee Minutes, 4</w:t>
      </w:r>
      <w:r w:rsidRPr="00F9408C">
        <w:rPr>
          <w:vertAlign w:val="superscript"/>
        </w:rPr>
        <w:t>th</w:t>
      </w:r>
      <w:r>
        <w:t xml:space="preserve"> March , 1927.</w:t>
      </w:r>
    </w:p>
  </w:footnote>
  <w:footnote w:id="8">
    <w:p w14:paraId="03B3BED3" w14:textId="691EAB73" w:rsidR="00EC78BB" w:rsidRPr="00EC78BB" w:rsidRDefault="00EC78B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C78BB">
        <w:t>David Atlas,  ‘Hebrew and Yiddish books of the Bourgeois Collection in Glasgow University Library’, Transactions of the Glasgow University Oriental Society, vol. 7 (1934-1935), pp 24-28.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50493"/>
    <w:multiLevelType w:val="hybridMultilevel"/>
    <w:tmpl w:val="35B49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20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AD"/>
    <w:rsid w:val="000153CE"/>
    <w:rsid w:val="000624E5"/>
    <w:rsid w:val="0007237A"/>
    <w:rsid w:val="000836AF"/>
    <w:rsid w:val="000A280B"/>
    <w:rsid w:val="000B6690"/>
    <w:rsid w:val="00124E7D"/>
    <w:rsid w:val="001511C0"/>
    <w:rsid w:val="001A3352"/>
    <w:rsid w:val="001C7958"/>
    <w:rsid w:val="001E2D25"/>
    <w:rsid w:val="00222205"/>
    <w:rsid w:val="002348F2"/>
    <w:rsid w:val="00254494"/>
    <w:rsid w:val="00262037"/>
    <w:rsid w:val="002807B8"/>
    <w:rsid w:val="00295267"/>
    <w:rsid w:val="00314B12"/>
    <w:rsid w:val="00376C22"/>
    <w:rsid w:val="00376E7E"/>
    <w:rsid w:val="00391AB3"/>
    <w:rsid w:val="00405ABD"/>
    <w:rsid w:val="004171FD"/>
    <w:rsid w:val="00437F01"/>
    <w:rsid w:val="00440548"/>
    <w:rsid w:val="00443EA4"/>
    <w:rsid w:val="004832EE"/>
    <w:rsid w:val="004B055B"/>
    <w:rsid w:val="004B5110"/>
    <w:rsid w:val="004C4A7F"/>
    <w:rsid w:val="004D4701"/>
    <w:rsid w:val="004F57E4"/>
    <w:rsid w:val="005027DE"/>
    <w:rsid w:val="005052BA"/>
    <w:rsid w:val="00520B6E"/>
    <w:rsid w:val="0052377D"/>
    <w:rsid w:val="00536BCE"/>
    <w:rsid w:val="005555E7"/>
    <w:rsid w:val="00566A65"/>
    <w:rsid w:val="005854A2"/>
    <w:rsid w:val="005A3BDF"/>
    <w:rsid w:val="005C5DCE"/>
    <w:rsid w:val="005D7F40"/>
    <w:rsid w:val="005F5330"/>
    <w:rsid w:val="00686BEF"/>
    <w:rsid w:val="006A40F5"/>
    <w:rsid w:val="006D3189"/>
    <w:rsid w:val="00701835"/>
    <w:rsid w:val="0075754F"/>
    <w:rsid w:val="00781BCE"/>
    <w:rsid w:val="007D65A0"/>
    <w:rsid w:val="008959BC"/>
    <w:rsid w:val="00923624"/>
    <w:rsid w:val="009245FE"/>
    <w:rsid w:val="00961F79"/>
    <w:rsid w:val="009807FD"/>
    <w:rsid w:val="009E0659"/>
    <w:rsid w:val="009F2C34"/>
    <w:rsid w:val="00A05367"/>
    <w:rsid w:val="00A06740"/>
    <w:rsid w:val="00A13A84"/>
    <w:rsid w:val="00A62FD3"/>
    <w:rsid w:val="00A630C4"/>
    <w:rsid w:val="00A830FD"/>
    <w:rsid w:val="00AB4558"/>
    <w:rsid w:val="00BA6014"/>
    <w:rsid w:val="00BC23BB"/>
    <w:rsid w:val="00BD42AA"/>
    <w:rsid w:val="00C057EC"/>
    <w:rsid w:val="00C449B0"/>
    <w:rsid w:val="00CB183C"/>
    <w:rsid w:val="00CD0C77"/>
    <w:rsid w:val="00CF6F3A"/>
    <w:rsid w:val="00D63899"/>
    <w:rsid w:val="00D67CAD"/>
    <w:rsid w:val="00D82457"/>
    <w:rsid w:val="00D930CD"/>
    <w:rsid w:val="00DC6C52"/>
    <w:rsid w:val="00DD123D"/>
    <w:rsid w:val="00DE44D3"/>
    <w:rsid w:val="00E93F0C"/>
    <w:rsid w:val="00EC78BB"/>
    <w:rsid w:val="00F01921"/>
    <w:rsid w:val="00F321C4"/>
    <w:rsid w:val="00F9088E"/>
    <w:rsid w:val="00F91F8A"/>
    <w:rsid w:val="00F9408C"/>
    <w:rsid w:val="00FD16A4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B3C80"/>
  <w15:docId w15:val="{502DE9C4-A54E-43B3-8D3D-17533D07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CAD"/>
    <w:pPr>
      <w:spacing w:after="0"/>
    </w:pPr>
  </w:style>
  <w:style w:type="paragraph" w:styleId="Heading1">
    <w:name w:val="heading 1"/>
    <w:basedOn w:val="Normal"/>
    <w:link w:val="Heading1Char"/>
    <w:uiPriority w:val="9"/>
    <w:qFormat/>
    <w:rsid w:val="00391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6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6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6C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5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03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0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03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91AB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ssrcss-c94fr3-contributor">
    <w:name w:val="ssrcss-c94fr3-contributor"/>
    <w:basedOn w:val="Normal"/>
    <w:rsid w:val="0039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91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bc.co.uk/news/magazine-28857769" TargetMode="External"/><Relationship Id="rId2" Type="http://schemas.openxmlformats.org/officeDocument/2006/relationships/hyperlink" Target="https://www.degruyter.com/document/doi/10.1515/lingty-2017-1001/html?lang=en" TargetMode="External"/><Relationship Id="rId1" Type="http://schemas.openxmlformats.org/officeDocument/2006/relationships/hyperlink" Target="https://ling.sprachwiss.uni-konstanz.de/pages/home/plan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A677D-3108-4B76-832B-3DBFB4F6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 MacLean</cp:lastModifiedBy>
  <cp:revision>2</cp:revision>
  <cp:lastPrinted>2015-02-11T18:33:00Z</cp:lastPrinted>
  <dcterms:created xsi:type="dcterms:W3CDTF">2022-12-05T12:16:00Z</dcterms:created>
  <dcterms:modified xsi:type="dcterms:W3CDTF">2022-12-05T12:16:00Z</dcterms:modified>
</cp:coreProperties>
</file>