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6B777" w14:textId="78A18903" w:rsidR="00D606C6" w:rsidRDefault="00D54F4D" w:rsidP="00545087">
      <w:pPr>
        <w:pStyle w:val="Title"/>
        <w:spacing w:before="0" w:after="120"/>
      </w:pPr>
      <w:r>
        <w:t xml:space="preserve">One-page summary </w:t>
      </w:r>
      <w:r w:rsidR="00DB493A" w:rsidRPr="00727F94">
        <w:t xml:space="preserve">Learning </w:t>
      </w:r>
      <w:r w:rsidR="000E7457">
        <w:t>&amp;</w:t>
      </w:r>
      <w:r w:rsidR="00DB493A" w:rsidRPr="00727F94">
        <w:t xml:space="preserve"> Teaching</w:t>
      </w:r>
      <w:r w:rsidR="005B6087">
        <w:t xml:space="preserve"> </w:t>
      </w:r>
      <w:r w:rsidR="00353922">
        <w:t xml:space="preserve">meta definitions </w:t>
      </w:r>
      <w:r w:rsidR="005B6087">
        <w:t xml:space="preserve">at </w:t>
      </w:r>
      <w:r w:rsidR="00545087">
        <w:t>the University of Glasgow</w:t>
      </w:r>
    </w:p>
    <w:p w14:paraId="648C1339" w14:textId="77777777" w:rsidR="00291325" w:rsidRDefault="00791ECD" w:rsidP="005B28C0">
      <w:pPr>
        <w:spacing w:before="120"/>
        <w:rPr>
          <w:sz w:val="22"/>
          <w:szCs w:val="20"/>
        </w:rPr>
      </w:pPr>
      <w:r w:rsidRPr="004544CE">
        <w:rPr>
          <w:sz w:val="22"/>
          <w:szCs w:val="20"/>
        </w:rPr>
        <w:t xml:space="preserve">Note: </w:t>
      </w:r>
      <w:proofErr w:type="spellStart"/>
      <w:r w:rsidR="00F5701A">
        <w:rPr>
          <w:sz w:val="22"/>
          <w:szCs w:val="20"/>
        </w:rPr>
        <w:t>W</w:t>
      </w:r>
      <w:r w:rsidRPr="004544CE">
        <w:rPr>
          <w:sz w:val="22"/>
          <w:szCs w:val="20"/>
        </w:rPr>
        <w:t>e re</w:t>
      </w:r>
      <w:proofErr w:type="spellEnd"/>
      <w:r w:rsidRPr="004544CE">
        <w:rPr>
          <w:sz w:val="22"/>
          <w:szCs w:val="20"/>
        </w:rPr>
        <w:t xml:space="preserve"> using the recently coined term </w:t>
      </w:r>
      <w:r w:rsidR="004B4BBD" w:rsidRPr="004544CE">
        <w:rPr>
          <w:sz w:val="22"/>
          <w:szCs w:val="20"/>
        </w:rPr>
        <w:t>‘</w:t>
      </w:r>
      <w:r w:rsidRPr="004544CE">
        <w:rPr>
          <w:sz w:val="22"/>
          <w:szCs w:val="20"/>
        </w:rPr>
        <w:t>on-ground</w:t>
      </w:r>
      <w:r w:rsidR="004B4BBD" w:rsidRPr="004544CE">
        <w:rPr>
          <w:sz w:val="22"/>
          <w:szCs w:val="20"/>
        </w:rPr>
        <w:t>’</w:t>
      </w:r>
      <w:r w:rsidRPr="004544CE">
        <w:rPr>
          <w:sz w:val="22"/>
          <w:szCs w:val="20"/>
        </w:rPr>
        <w:t xml:space="preserve"> </w:t>
      </w:r>
      <w:r w:rsidR="008E1B1B" w:rsidRPr="004544CE">
        <w:rPr>
          <w:sz w:val="22"/>
          <w:szCs w:val="20"/>
        </w:rPr>
        <w:t xml:space="preserve">as </w:t>
      </w:r>
      <w:r w:rsidR="004B4BBD" w:rsidRPr="004544CE">
        <w:rPr>
          <w:sz w:val="22"/>
          <w:szCs w:val="20"/>
        </w:rPr>
        <w:t xml:space="preserve">the counterpart to ‘on-line’. On-ground </w:t>
      </w:r>
      <w:r w:rsidR="004D6AD0" w:rsidRPr="004544CE">
        <w:rPr>
          <w:sz w:val="22"/>
          <w:szCs w:val="20"/>
        </w:rPr>
        <w:t>refers to physical locations.</w:t>
      </w:r>
      <w:r w:rsidR="005B28C0" w:rsidRPr="004544CE">
        <w:rPr>
          <w:sz w:val="22"/>
          <w:szCs w:val="20"/>
        </w:rPr>
        <w:t xml:space="preserve"> </w:t>
      </w:r>
    </w:p>
    <w:p w14:paraId="2B44C30E" w14:textId="77777777" w:rsidR="00291325" w:rsidRDefault="007D3C2D" w:rsidP="005B28C0">
      <w:pPr>
        <w:spacing w:before="120"/>
        <w:rPr>
          <w:sz w:val="22"/>
          <w:szCs w:val="20"/>
        </w:rPr>
      </w:pPr>
      <w:r w:rsidRPr="004544CE">
        <w:rPr>
          <w:sz w:val="22"/>
          <w:szCs w:val="20"/>
        </w:rPr>
        <w:t>D</w:t>
      </w:r>
      <w:r w:rsidR="00574726" w:rsidRPr="004544CE">
        <w:rPr>
          <w:sz w:val="22"/>
          <w:szCs w:val="20"/>
        </w:rPr>
        <w:t xml:space="preserve">ifferent definitions for these terms </w:t>
      </w:r>
      <w:r w:rsidRPr="004544CE">
        <w:rPr>
          <w:sz w:val="22"/>
          <w:szCs w:val="20"/>
        </w:rPr>
        <w:t xml:space="preserve">can be found </w:t>
      </w:r>
      <w:r w:rsidR="00574726" w:rsidRPr="004544CE">
        <w:rPr>
          <w:sz w:val="22"/>
          <w:szCs w:val="20"/>
        </w:rPr>
        <w:t xml:space="preserve">across the sector and in the literature, but these are </w:t>
      </w:r>
      <w:r w:rsidR="00574726" w:rsidRPr="004544CE">
        <w:rPr>
          <w:i/>
          <w:sz w:val="22"/>
          <w:szCs w:val="20"/>
        </w:rPr>
        <w:t>ours</w:t>
      </w:r>
      <w:r w:rsidR="00112F76" w:rsidRPr="004544CE">
        <w:rPr>
          <w:sz w:val="22"/>
          <w:szCs w:val="20"/>
        </w:rPr>
        <w:t>, so that we may use a common language</w:t>
      </w:r>
      <w:r w:rsidR="004544CE" w:rsidRPr="004544CE">
        <w:rPr>
          <w:sz w:val="22"/>
          <w:szCs w:val="20"/>
        </w:rPr>
        <w:t xml:space="preserve"> at </w:t>
      </w:r>
      <w:proofErr w:type="spellStart"/>
      <w:r w:rsidR="004544CE" w:rsidRPr="004544CE">
        <w:rPr>
          <w:sz w:val="22"/>
          <w:szCs w:val="20"/>
        </w:rPr>
        <w:t>UofG</w:t>
      </w:r>
      <w:proofErr w:type="spellEnd"/>
      <w:r w:rsidR="004544CE" w:rsidRPr="004544CE">
        <w:rPr>
          <w:sz w:val="22"/>
          <w:szCs w:val="20"/>
        </w:rPr>
        <w:t>.</w:t>
      </w:r>
      <w:r w:rsidR="00086D73">
        <w:rPr>
          <w:sz w:val="22"/>
          <w:szCs w:val="20"/>
        </w:rPr>
        <w:t xml:space="preserve"> </w:t>
      </w:r>
    </w:p>
    <w:p w14:paraId="0395F2C8" w14:textId="28C28062" w:rsidR="00B10E6C" w:rsidRDefault="00291325" w:rsidP="005B28C0">
      <w:pPr>
        <w:spacing w:before="120"/>
        <w:rPr>
          <w:sz w:val="22"/>
          <w:szCs w:val="20"/>
        </w:rPr>
      </w:pPr>
      <w:r>
        <w:rPr>
          <w:sz w:val="22"/>
          <w:szCs w:val="20"/>
        </w:rPr>
        <w:t xml:space="preserve">A </w:t>
      </w:r>
      <w:r w:rsidR="00873993">
        <w:rPr>
          <w:sz w:val="22"/>
          <w:szCs w:val="20"/>
        </w:rPr>
        <w:t>d</w:t>
      </w:r>
      <w:r w:rsidR="00C02BAD">
        <w:rPr>
          <w:sz w:val="22"/>
          <w:szCs w:val="20"/>
        </w:rPr>
        <w:t>etailed document</w:t>
      </w:r>
      <w:r w:rsidR="00873993">
        <w:rPr>
          <w:sz w:val="22"/>
          <w:szCs w:val="20"/>
        </w:rPr>
        <w:t xml:space="preserve"> with examples and literature is</w:t>
      </w:r>
      <w:r w:rsidR="00C02BAD">
        <w:rPr>
          <w:sz w:val="22"/>
          <w:szCs w:val="20"/>
        </w:rPr>
        <w:t xml:space="preserve">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891"/>
        <w:gridCol w:w="10914"/>
      </w:tblGrid>
      <w:tr w:rsidR="00F207FB" w:rsidRPr="00545087" w14:paraId="66F0E445" w14:textId="77777777" w:rsidTr="00A25961">
        <w:trPr>
          <w:trHeight w:val="397"/>
        </w:trPr>
        <w:tc>
          <w:tcPr>
            <w:tcW w:w="1413" w:type="dxa"/>
            <w:shd w:val="clear" w:color="auto" w:fill="595959" w:themeFill="text1" w:themeFillTint="A6"/>
            <w:vAlign w:val="center"/>
          </w:tcPr>
          <w:p w14:paraId="5AFCAD01" w14:textId="6937CF3F" w:rsidR="00F207FB" w:rsidRPr="00A25961" w:rsidRDefault="00A25961" w:rsidP="00815351">
            <w:pPr>
              <w:spacing w:after="0"/>
              <w:rPr>
                <w:color w:val="FFFFFF" w:themeColor="background1"/>
                <w:sz w:val="22"/>
              </w:rPr>
            </w:pPr>
            <w:r w:rsidRPr="00A25961">
              <w:rPr>
                <w:color w:val="FFFFFF" w:themeColor="background1"/>
                <w:szCs w:val="24"/>
              </w:rPr>
              <w:t>Term</w:t>
            </w:r>
          </w:p>
        </w:tc>
        <w:tc>
          <w:tcPr>
            <w:tcW w:w="2891" w:type="dxa"/>
            <w:shd w:val="clear" w:color="auto" w:fill="595959" w:themeFill="text1" w:themeFillTint="A6"/>
            <w:vAlign w:val="center"/>
          </w:tcPr>
          <w:p w14:paraId="2A85E8F0" w14:textId="70C46D60" w:rsidR="00F207FB" w:rsidRPr="00A25961" w:rsidRDefault="00F207FB" w:rsidP="00815351">
            <w:pPr>
              <w:spacing w:after="0"/>
              <w:rPr>
                <w:color w:val="FFFFFF" w:themeColor="background1"/>
                <w:sz w:val="22"/>
              </w:rPr>
            </w:pPr>
            <w:r w:rsidRPr="00A25961">
              <w:rPr>
                <w:color w:val="FFFFFF" w:themeColor="background1"/>
                <w:szCs w:val="24"/>
              </w:rPr>
              <w:t>Summary</w:t>
            </w:r>
          </w:p>
        </w:tc>
        <w:tc>
          <w:tcPr>
            <w:tcW w:w="10914" w:type="dxa"/>
            <w:shd w:val="clear" w:color="auto" w:fill="595959" w:themeFill="text1" w:themeFillTint="A6"/>
            <w:vAlign w:val="center"/>
          </w:tcPr>
          <w:p w14:paraId="6E461667" w14:textId="2BB8B84E" w:rsidR="00F207FB" w:rsidRPr="00A25961" w:rsidRDefault="00A25961" w:rsidP="00815351">
            <w:pPr>
              <w:spacing w:after="0"/>
              <w:rPr>
                <w:color w:val="FFFFFF" w:themeColor="background1"/>
                <w:sz w:val="22"/>
              </w:rPr>
            </w:pPr>
            <w:r w:rsidRPr="00A25961">
              <w:rPr>
                <w:color w:val="FFFFFF" w:themeColor="background1"/>
                <w:sz w:val="22"/>
              </w:rPr>
              <w:t>Further information</w:t>
            </w:r>
          </w:p>
        </w:tc>
      </w:tr>
      <w:tr w:rsidR="00F207FB" w:rsidRPr="00545087" w14:paraId="10B69FF9" w14:textId="77777777" w:rsidTr="00071908">
        <w:trPr>
          <w:trHeight w:val="397"/>
        </w:trPr>
        <w:tc>
          <w:tcPr>
            <w:tcW w:w="1413" w:type="dxa"/>
            <w:vAlign w:val="center"/>
          </w:tcPr>
          <w:p w14:paraId="37037381" w14:textId="6E4AAD96" w:rsidR="00F207FB" w:rsidRPr="00F5701A" w:rsidRDefault="00F207FB" w:rsidP="00815351">
            <w:pPr>
              <w:spacing w:after="0"/>
              <w:rPr>
                <w:b/>
                <w:bCs/>
                <w:sz w:val="22"/>
              </w:rPr>
            </w:pPr>
            <w:r w:rsidRPr="00F5701A">
              <w:rPr>
                <w:b/>
                <w:bCs/>
                <w:sz w:val="22"/>
              </w:rPr>
              <w:t xml:space="preserve">On-campus Learning </w:t>
            </w:r>
          </w:p>
        </w:tc>
        <w:tc>
          <w:tcPr>
            <w:tcW w:w="2891" w:type="dxa"/>
            <w:vAlign w:val="center"/>
          </w:tcPr>
          <w:p w14:paraId="1A72E6DE" w14:textId="5BBCAF20" w:rsidR="00F207FB" w:rsidRPr="00545087" w:rsidRDefault="00F207FB" w:rsidP="00815351">
            <w:pPr>
              <w:spacing w:after="0"/>
              <w:rPr>
                <w:b/>
                <w:bCs/>
                <w:sz w:val="22"/>
              </w:rPr>
            </w:pPr>
            <w:r w:rsidRPr="00545087">
              <w:rPr>
                <w:rFonts w:cstheme="minorHAnsi"/>
                <w:sz w:val="22"/>
              </w:rPr>
              <w:t xml:space="preserve">At </w:t>
            </w:r>
            <w:proofErr w:type="spellStart"/>
            <w:r w:rsidRPr="00545087">
              <w:rPr>
                <w:rFonts w:cstheme="minorHAnsi"/>
                <w:sz w:val="22"/>
              </w:rPr>
              <w:t>UofG</w:t>
            </w:r>
            <w:proofErr w:type="spellEnd"/>
            <w:r w:rsidRPr="00545087">
              <w:rPr>
                <w:rFonts w:cstheme="minorHAnsi"/>
                <w:b/>
                <w:bCs/>
                <w:sz w:val="22"/>
              </w:rPr>
              <w:t xml:space="preserve"> </w:t>
            </w:r>
            <w:r w:rsidRPr="00071908">
              <w:rPr>
                <w:rFonts w:cstheme="minorHAnsi"/>
                <w:b/>
                <w:bCs/>
                <w:sz w:val="22"/>
              </w:rPr>
              <w:t>On-campus Learning</w:t>
            </w:r>
            <w:r w:rsidRPr="00545087">
              <w:rPr>
                <w:rFonts w:cstheme="minorHAnsi"/>
                <w:sz w:val="22"/>
              </w:rPr>
              <w:t xml:space="preserve"> takes place in the physical location of our campuses.</w:t>
            </w:r>
          </w:p>
        </w:tc>
        <w:tc>
          <w:tcPr>
            <w:tcW w:w="10914" w:type="dxa"/>
            <w:vAlign w:val="center"/>
          </w:tcPr>
          <w:p w14:paraId="450FA5AB" w14:textId="41D0461B" w:rsidR="00F207FB" w:rsidRPr="00545087" w:rsidRDefault="00F207FB" w:rsidP="00F207FB">
            <w:pPr>
              <w:rPr>
                <w:rFonts w:cstheme="minorHAnsi"/>
                <w:sz w:val="22"/>
              </w:rPr>
            </w:pPr>
            <w:r w:rsidRPr="00545087">
              <w:rPr>
                <w:rFonts w:cstheme="minorHAnsi"/>
                <w:sz w:val="22"/>
              </w:rPr>
              <w:t>It is likely that learning on campus include</w:t>
            </w:r>
            <w:r w:rsidR="00227DDC">
              <w:rPr>
                <w:rFonts w:cstheme="minorHAnsi"/>
                <w:sz w:val="22"/>
              </w:rPr>
              <w:t>s</w:t>
            </w:r>
            <w:r w:rsidRPr="00545087">
              <w:rPr>
                <w:rFonts w:cstheme="minorHAnsi"/>
                <w:sz w:val="22"/>
              </w:rPr>
              <w:t xml:space="preserve"> the use of technology to enhance the learning, and thus on-ground learning is usually blended learning. </w:t>
            </w:r>
          </w:p>
        </w:tc>
      </w:tr>
      <w:tr w:rsidR="00F207FB" w:rsidRPr="00545087" w14:paraId="6F644E87" w14:textId="77777777" w:rsidTr="00071908">
        <w:trPr>
          <w:trHeight w:val="397"/>
        </w:trPr>
        <w:tc>
          <w:tcPr>
            <w:tcW w:w="1413" w:type="dxa"/>
            <w:vAlign w:val="center"/>
          </w:tcPr>
          <w:p w14:paraId="4923BF97" w14:textId="379B05E3" w:rsidR="00F207FB" w:rsidRPr="00F5701A" w:rsidRDefault="00F207FB" w:rsidP="00815351">
            <w:pPr>
              <w:spacing w:after="0"/>
              <w:rPr>
                <w:b/>
                <w:bCs/>
                <w:sz w:val="22"/>
              </w:rPr>
            </w:pPr>
            <w:r w:rsidRPr="00F5701A">
              <w:rPr>
                <w:b/>
                <w:bCs/>
                <w:sz w:val="22"/>
              </w:rPr>
              <w:t>Blended Learning</w:t>
            </w:r>
          </w:p>
        </w:tc>
        <w:tc>
          <w:tcPr>
            <w:tcW w:w="2891" w:type="dxa"/>
            <w:vAlign w:val="center"/>
          </w:tcPr>
          <w:p w14:paraId="7B79DD2B" w14:textId="08ACC1E3" w:rsidR="00F207FB" w:rsidRPr="00545087" w:rsidRDefault="00F207FB" w:rsidP="00815351">
            <w:pPr>
              <w:spacing w:after="0"/>
              <w:rPr>
                <w:sz w:val="22"/>
              </w:rPr>
            </w:pPr>
            <w:r w:rsidRPr="00545087">
              <w:rPr>
                <w:sz w:val="22"/>
              </w:rPr>
              <w:t xml:space="preserve">At </w:t>
            </w:r>
            <w:proofErr w:type="spellStart"/>
            <w:r w:rsidRPr="00545087">
              <w:rPr>
                <w:sz w:val="22"/>
              </w:rPr>
              <w:t>UofG</w:t>
            </w:r>
            <w:proofErr w:type="spellEnd"/>
            <w:r w:rsidRPr="00545087">
              <w:rPr>
                <w:sz w:val="22"/>
              </w:rPr>
              <w:t xml:space="preserve"> </w:t>
            </w:r>
            <w:r w:rsidRPr="00071908">
              <w:rPr>
                <w:b/>
                <w:sz w:val="22"/>
              </w:rPr>
              <w:t>Blended Learning</w:t>
            </w:r>
            <w:r w:rsidRPr="00545087">
              <w:rPr>
                <w:sz w:val="22"/>
              </w:rPr>
              <w:t xml:space="preserve"> takes place on campus with </w:t>
            </w:r>
            <w:r w:rsidR="00227DDC">
              <w:rPr>
                <w:sz w:val="22"/>
              </w:rPr>
              <w:t xml:space="preserve">localised or online </w:t>
            </w:r>
            <w:r w:rsidRPr="00545087">
              <w:rPr>
                <w:sz w:val="22"/>
              </w:rPr>
              <w:t xml:space="preserve">technology. </w:t>
            </w:r>
            <w:r w:rsidR="00071908">
              <w:rPr>
                <w:sz w:val="22"/>
              </w:rPr>
              <w:t xml:space="preserve">Technology is </w:t>
            </w:r>
            <w:r w:rsidRPr="00545087">
              <w:rPr>
                <w:sz w:val="22"/>
              </w:rPr>
              <w:t xml:space="preserve">always </w:t>
            </w:r>
            <w:r w:rsidR="00071908">
              <w:rPr>
                <w:sz w:val="22"/>
              </w:rPr>
              <w:t>part of it.</w:t>
            </w:r>
          </w:p>
        </w:tc>
        <w:tc>
          <w:tcPr>
            <w:tcW w:w="10914" w:type="dxa"/>
            <w:vAlign w:val="center"/>
          </w:tcPr>
          <w:p w14:paraId="1A98EEB5" w14:textId="4139244B" w:rsidR="00227DDC" w:rsidRDefault="00227DDC" w:rsidP="00227DDC">
            <w:pPr>
              <w:rPr>
                <w:sz w:val="22"/>
              </w:rPr>
            </w:pPr>
            <w:r>
              <w:rPr>
                <w:rFonts w:cstheme="minorHAnsi"/>
                <w:sz w:val="22"/>
              </w:rPr>
              <w:t>Blended Learning</w:t>
            </w:r>
            <w:r w:rsidRPr="00545087">
              <w:rPr>
                <w:rFonts w:cstheme="minorHAnsi"/>
                <w:sz w:val="22"/>
              </w:rPr>
              <w:t xml:space="preserve"> includes technology used in the classroom which is localised (</w:t>
            </w:r>
            <w:proofErr w:type="gramStart"/>
            <w:r w:rsidRPr="00545087">
              <w:rPr>
                <w:rFonts w:cstheme="minorHAnsi"/>
                <w:sz w:val="22"/>
              </w:rPr>
              <w:t>e.g.</w:t>
            </w:r>
            <w:proofErr w:type="gramEnd"/>
            <w:r w:rsidRPr="00545087">
              <w:rPr>
                <w:rFonts w:cstheme="minorHAnsi"/>
                <w:sz w:val="22"/>
              </w:rPr>
              <w:t xml:space="preserve"> polling software), and also technology which is online (e.g. session preparation with online videos/resources for classroom seminar)</w:t>
            </w:r>
          </w:p>
          <w:p w14:paraId="0D26A83F" w14:textId="6E1E470F" w:rsidR="00F207FB" w:rsidRPr="00227DDC" w:rsidRDefault="00F207FB" w:rsidP="00227DDC">
            <w:pPr>
              <w:rPr>
                <w:b/>
                <w:bCs/>
                <w:sz w:val="22"/>
              </w:rPr>
            </w:pPr>
            <w:r w:rsidRPr="00545087">
              <w:rPr>
                <w:sz w:val="22"/>
              </w:rPr>
              <w:t>Blended Learning is a “thoughtful integration of classroom face-to-face learning experiences with online learning experiences” (</w:t>
            </w:r>
            <w:hyperlink r:id="rId10" w:history="1">
              <w:r w:rsidRPr="00545087">
                <w:rPr>
                  <w:rStyle w:val="Hyperlink"/>
                  <w:sz w:val="22"/>
                </w:rPr>
                <w:t>Garrison and Kanuka</w:t>
              </w:r>
            </w:hyperlink>
            <w:r w:rsidRPr="00545087">
              <w:rPr>
                <w:sz w:val="22"/>
              </w:rPr>
              <w:t>, 2004, p.96-7). It is “about rethinking and redesigning the teaching and learning relationship” (ibid., p. 99).</w:t>
            </w:r>
            <w:r w:rsidR="00227DDC">
              <w:rPr>
                <w:sz w:val="22"/>
              </w:rPr>
              <w:t xml:space="preserve"> </w:t>
            </w:r>
            <w:r w:rsidRPr="00545087">
              <w:rPr>
                <w:sz w:val="22"/>
              </w:rPr>
              <w:t>Blended approaches “use multiple methods to deliver learning combining face-to-face interactions with online activities…” (</w:t>
            </w:r>
            <w:proofErr w:type="spellStart"/>
            <w:r w:rsidR="00DC02B2">
              <w:fldChar w:fldCharType="begin"/>
            </w:r>
            <w:r w:rsidR="00DC02B2">
              <w:instrText xml:space="preserve"> HYPERLINK "https://www.advance-he.ac.uk/knowledge-hub/blended-learning" </w:instrText>
            </w:r>
            <w:r w:rsidR="00DC02B2">
              <w:fldChar w:fldCharType="separate"/>
            </w:r>
            <w:r w:rsidRPr="00545087">
              <w:rPr>
                <w:rStyle w:val="Hyperlink"/>
                <w:sz w:val="22"/>
              </w:rPr>
              <w:t>AdvanceHE</w:t>
            </w:r>
            <w:proofErr w:type="spellEnd"/>
            <w:r w:rsidR="00DC02B2">
              <w:rPr>
                <w:rStyle w:val="Hyperlink"/>
                <w:sz w:val="22"/>
              </w:rPr>
              <w:fldChar w:fldCharType="end"/>
            </w:r>
            <w:r w:rsidRPr="00545087">
              <w:rPr>
                <w:sz w:val="22"/>
              </w:rPr>
              <w:t>, 2020).</w:t>
            </w:r>
          </w:p>
        </w:tc>
      </w:tr>
      <w:tr w:rsidR="00F207FB" w:rsidRPr="00545087" w14:paraId="4BBC9308" w14:textId="77777777" w:rsidTr="00071908">
        <w:trPr>
          <w:trHeight w:val="397"/>
        </w:trPr>
        <w:tc>
          <w:tcPr>
            <w:tcW w:w="1413" w:type="dxa"/>
            <w:vAlign w:val="center"/>
          </w:tcPr>
          <w:p w14:paraId="76257153" w14:textId="43C40D4C" w:rsidR="00F207FB" w:rsidRPr="00F5701A" w:rsidRDefault="00545087" w:rsidP="00815351">
            <w:pPr>
              <w:spacing w:after="0"/>
              <w:rPr>
                <w:b/>
                <w:bCs/>
                <w:sz w:val="22"/>
              </w:rPr>
            </w:pPr>
            <w:r w:rsidRPr="00F5701A">
              <w:rPr>
                <w:b/>
                <w:bCs/>
                <w:sz w:val="22"/>
              </w:rPr>
              <w:t>Hybrid Learning</w:t>
            </w:r>
          </w:p>
        </w:tc>
        <w:tc>
          <w:tcPr>
            <w:tcW w:w="2891" w:type="dxa"/>
            <w:vAlign w:val="center"/>
          </w:tcPr>
          <w:p w14:paraId="157966BB" w14:textId="000F60A5" w:rsidR="00F207FB" w:rsidRPr="00545087" w:rsidRDefault="00545087" w:rsidP="00815351">
            <w:pPr>
              <w:spacing w:after="0"/>
              <w:rPr>
                <w:sz w:val="22"/>
              </w:rPr>
            </w:pPr>
            <w:r w:rsidRPr="00545087">
              <w:rPr>
                <w:rFonts w:eastAsiaTheme="majorEastAsia" w:cstheme="minorHAnsi"/>
                <w:color w:val="262626" w:themeColor="text1" w:themeTint="D9"/>
                <w:sz w:val="22"/>
              </w:rPr>
              <w:t xml:space="preserve">At </w:t>
            </w:r>
            <w:proofErr w:type="spellStart"/>
            <w:r w:rsidRPr="00545087">
              <w:rPr>
                <w:rFonts w:eastAsiaTheme="majorEastAsia" w:cstheme="minorHAnsi"/>
                <w:color w:val="262626" w:themeColor="text1" w:themeTint="D9"/>
                <w:sz w:val="22"/>
              </w:rPr>
              <w:t>UofG</w:t>
            </w:r>
            <w:proofErr w:type="spellEnd"/>
            <w:r w:rsidRPr="00545087">
              <w:rPr>
                <w:rFonts w:eastAsiaTheme="majorEastAsia" w:cstheme="minorHAnsi"/>
                <w:color w:val="262626" w:themeColor="text1" w:themeTint="D9"/>
                <w:sz w:val="22"/>
              </w:rPr>
              <w:t xml:space="preserve"> </w:t>
            </w:r>
            <w:r w:rsidRPr="00071908">
              <w:rPr>
                <w:rFonts w:eastAsiaTheme="majorEastAsia" w:cstheme="minorHAnsi"/>
                <w:b/>
                <w:color w:val="262626" w:themeColor="text1" w:themeTint="D9"/>
                <w:sz w:val="22"/>
              </w:rPr>
              <w:t>Hybrid Learning</w:t>
            </w:r>
            <w:r w:rsidRPr="00545087">
              <w:rPr>
                <w:rFonts w:eastAsiaTheme="majorEastAsia" w:cstheme="minorHAnsi"/>
                <w:b/>
                <w:color w:val="262626" w:themeColor="text1" w:themeTint="D9"/>
                <w:sz w:val="22"/>
              </w:rPr>
              <w:t xml:space="preserve"> </w:t>
            </w:r>
            <w:r w:rsidRPr="00545087">
              <w:rPr>
                <w:rFonts w:eastAsiaTheme="majorEastAsia" w:cstheme="minorHAnsi"/>
                <w:color w:val="262626" w:themeColor="text1" w:themeTint="D9"/>
                <w:sz w:val="22"/>
              </w:rPr>
              <w:t>has students online and on-campus at the same time.</w:t>
            </w:r>
          </w:p>
        </w:tc>
        <w:tc>
          <w:tcPr>
            <w:tcW w:w="10914" w:type="dxa"/>
            <w:vAlign w:val="center"/>
          </w:tcPr>
          <w:p w14:paraId="0D917FE5" w14:textId="77777777" w:rsidR="00F207FB" w:rsidRDefault="00545087" w:rsidP="00545087">
            <w:pPr>
              <w:rPr>
                <w:sz w:val="22"/>
              </w:rPr>
            </w:pPr>
            <w:r w:rsidRPr="00545087">
              <w:rPr>
                <w:sz w:val="22"/>
              </w:rPr>
              <w:t>Hybrid Learning is “designed to be delivered both onsite and remotely, allowing students to move between the two methods of delivery seamlessly.” (</w:t>
            </w:r>
            <w:hyperlink r:id="rId11" w:history="1">
              <w:r w:rsidRPr="00545087">
                <w:rPr>
                  <w:color w:val="0563C1" w:themeColor="hyperlink"/>
                  <w:sz w:val="22"/>
                  <w:u w:val="single"/>
                </w:rPr>
                <w:t>QAA</w:t>
              </w:r>
            </w:hyperlink>
            <w:r w:rsidRPr="00545087">
              <w:rPr>
                <w:sz w:val="22"/>
              </w:rPr>
              <w:t>, 2020, p.3)</w:t>
            </w:r>
            <w:r w:rsidR="00D910A0">
              <w:rPr>
                <w:sz w:val="22"/>
              </w:rPr>
              <w:t xml:space="preserve"> </w:t>
            </w:r>
            <w:r w:rsidRPr="00545087">
              <w:rPr>
                <w:sz w:val="22"/>
              </w:rPr>
              <w:t xml:space="preserve">Online and on-campus students are considered as one cohort and individual students are able to move between online and on-campus learning activities. </w:t>
            </w:r>
          </w:p>
          <w:p w14:paraId="6D66C4DC" w14:textId="47841952" w:rsidR="00D910A0" w:rsidRPr="00545087" w:rsidRDefault="00D910A0" w:rsidP="00545087">
            <w:pPr>
              <w:rPr>
                <w:sz w:val="22"/>
              </w:rPr>
            </w:pPr>
            <w:r w:rsidRPr="00545087">
              <w:rPr>
                <w:b/>
                <w:i/>
                <w:sz w:val="22"/>
              </w:rPr>
              <w:t>Please note</w:t>
            </w:r>
            <w:r w:rsidRPr="00545087">
              <w:rPr>
                <w:sz w:val="22"/>
              </w:rPr>
              <w:t xml:space="preserve">: </w:t>
            </w:r>
            <w:r>
              <w:rPr>
                <w:sz w:val="22"/>
              </w:rPr>
              <w:t>Hybrid</w:t>
            </w:r>
            <w:r w:rsidRPr="00545087">
              <w:rPr>
                <w:sz w:val="22"/>
              </w:rPr>
              <w:t xml:space="preserve"> learning needs very careful design and facilitation as well as </w:t>
            </w:r>
            <w:proofErr w:type="gramStart"/>
            <w:r w:rsidRPr="00545087">
              <w:rPr>
                <w:sz w:val="22"/>
              </w:rPr>
              <w:t>particular technology</w:t>
            </w:r>
            <w:proofErr w:type="gramEnd"/>
            <w:r w:rsidRPr="00545087">
              <w:rPr>
                <w:sz w:val="22"/>
              </w:rPr>
              <w:t xml:space="preserve"> for it to be an effective and inclusive learning experience. This approach is not likely to feature in teaching plans in the next 12-18 </w:t>
            </w:r>
            <w:proofErr w:type="gramStart"/>
            <w:r w:rsidRPr="00545087">
              <w:rPr>
                <w:sz w:val="22"/>
              </w:rPr>
              <w:t>months, but</w:t>
            </w:r>
            <w:proofErr w:type="gramEnd"/>
            <w:r w:rsidRPr="00545087">
              <w:rPr>
                <w:sz w:val="22"/>
              </w:rPr>
              <w:t xml:space="preserve"> may be the subject of some piloting in particular circumstances in the session 2021-22. It may, however, become necessary in certain situation to accommodate remote learning </w:t>
            </w:r>
            <w:proofErr w:type="gramStart"/>
            <w:r w:rsidRPr="00545087">
              <w:rPr>
                <w:sz w:val="22"/>
              </w:rPr>
              <w:t>e.g.</w:t>
            </w:r>
            <w:proofErr w:type="gramEnd"/>
            <w:r w:rsidRPr="00545087">
              <w:rPr>
                <w:sz w:val="22"/>
              </w:rPr>
              <w:t xml:space="preserve"> if a handful of students in a cohort are unable to make it to Glasgow owing to international travel restrictions. We already offer some courses in this mode (</w:t>
            </w:r>
            <w:proofErr w:type="gramStart"/>
            <w:r w:rsidRPr="00545087">
              <w:rPr>
                <w:sz w:val="22"/>
              </w:rPr>
              <w:t>e.g.</w:t>
            </w:r>
            <w:proofErr w:type="gramEnd"/>
            <w:r w:rsidRPr="00545087">
              <w:rPr>
                <w:sz w:val="22"/>
              </w:rPr>
              <w:t xml:space="preserve"> in Maths PGT and in TRS), which are likely to continue as hybrid.</w:t>
            </w:r>
          </w:p>
        </w:tc>
      </w:tr>
      <w:tr w:rsidR="00F207FB" w:rsidRPr="00545087" w14:paraId="1852F8A3" w14:textId="77777777" w:rsidTr="00071908">
        <w:trPr>
          <w:trHeight w:val="397"/>
        </w:trPr>
        <w:tc>
          <w:tcPr>
            <w:tcW w:w="1413" w:type="dxa"/>
            <w:vAlign w:val="center"/>
          </w:tcPr>
          <w:p w14:paraId="1C6181C2" w14:textId="4241B8C0" w:rsidR="00F207FB" w:rsidRPr="00F5701A" w:rsidRDefault="00545087" w:rsidP="00815351">
            <w:pPr>
              <w:spacing w:after="0"/>
              <w:rPr>
                <w:b/>
                <w:bCs/>
                <w:sz w:val="22"/>
              </w:rPr>
            </w:pPr>
            <w:r w:rsidRPr="00F5701A">
              <w:rPr>
                <w:b/>
                <w:bCs/>
                <w:sz w:val="22"/>
              </w:rPr>
              <w:t>Online (Distance) Learning</w:t>
            </w:r>
          </w:p>
        </w:tc>
        <w:tc>
          <w:tcPr>
            <w:tcW w:w="2891" w:type="dxa"/>
            <w:vAlign w:val="center"/>
          </w:tcPr>
          <w:p w14:paraId="63BBBFDF" w14:textId="615E18BE" w:rsidR="00F207FB" w:rsidRPr="00545087" w:rsidRDefault="00545087" w:rsidP="00815351">
            <w:pPr>
              <w:spacing w:after="0"/>
              <w:rPr>
                <w:sz w:val="22"/>
              </w:rPr>
            </w:pPr>
            <w:r w:rsidRPr="00545087">
              <w:rPr>
                <w:sz w:val="22"/>
              </w:rPr>
              <w:t xml:space="preserve">At </w:t>
            </w:r>
            <w:proofErr w:type="spellStart"/>
            <w:r w:rsidRPr="00545087">
              <w:rPr>
                <w:sz w:val="22"/>
              </w:rPr>
              <w:t>UofG</w:t>
            </w:r>
            <w:proofErr w:type="spellEnd"/>
            <w:r w:rsidRPr="00545087">
              <w:rPr>
                <w:sz w:val="22"/>
              </w:rPr>
              <w:t xml:space="preserve"> </w:t>
            </w:r>
            <w:r w:rsidRPr="00227DDC">
              <w:rPr>
                <w:b/>
                <w:bCs/>
                <w:sz w:val="22"/>
              </w:rPr>
              <w:t>Online Learning</w:t>
            </w:r>
            <w:r w:rsidRPr="00545087">
              <w:rPr>
                <w:sz w:val="22"/>
              </w:rPr>
              <w:t xml:space="preserve"> takes place on the internet and thus at any physical location. </w:t>
            </w:r>
            <w:r w:rsidR="00A25961">
              <w:rPr>
                <w:sz w:val="22"/>
              </w:rPr>
              <w:t>We usually use the term Online Distance Learning</w:t>
            </w:r>
            <w:r w:rsidR="00291325">
              <w:rPr>
                <w:sz w:val="22"/>
              </w:rPr>
              <w:t>.</w:t>
            </w:r>
          </w:p>
        </w:tc>
        <w:tc>
          <w:tcPr>
            <w:tcW w:w="10914" w:type="dxa"/>
            <w:vAlign w:val="center"/>
          </w:tcPr>
          <w:p w14:paraId="40E9505A" w14:textId="1BF0B5E4" w:rsidR="00291325" w:rsidRDefault="00291325" w:rsidP="00545087">
            <w:pPr>
              <w:rPr>
                <w:sz w:val="22"/>
              </w:rPr>
            </w:pPr>
            <w:r w:rsidRPr="00545087">
              <w:rPr>
                <w:sz w:val="22"/>
              </w:rPr>
              <w:t>“The term online works well as an umbrella term as it is in common use beyond the UK higher education sector; it focuses on the connectivity of the learning, teaching and support delivery methods […].” (</w:t>
            </w:r>
            <w:hyperlink r:id="rId12">
              <w:r w:rsidRPr="00545087">
                <w:rPr>
                  <w:rStyle w:val="Hyperlink"/>
                  <w:sz w:val="22"/>
                </w:rPr>
                <w:t>QAA</w:t>
              </w:r>
            </w:hyperlink>
            <w:r w:rsidRPr="00545087">
              <w:rPr>
                <w:sz w:val="22"/>
              </w:rPr>
              <w:t>, 2020, p.2)</w:t>
            </w:r>
          </w:p>
          <w:p w14:paraId="34BCCA65" w14:textId="6B773748" w:rsidR="00F207FB" w:rsidRPr="00545087" w:rsidRDefault="00291325" w:rsidP="00545087">
            <w:pPr>
              <w:rPr>
                <w:sz w:val="22"/>
              </w:rPr>
            </w:pPr>
            <w:r>
              <w:rPr>
                <w:sz w:val="22"/>
              </w:rPr>
              <w:t xml:space="preserve">Online Distance Learning (ODL) is a specific subset of Online Learning. </w:t>
            </w:r>
            <w:r w:rsidR="00545087" w:rsidRPr="00B77EC4">
              <w:rPr>
                <w:bCs/>
                <w:sz w:val="22"/>
              </w:rPr>
              <w:t>Online Distance Learning</w:t>
            </w:r>
            <w:r w:rsidR="00545087" w:rsidRPr="00545087">
              <w:rPr>
                <w:sz w:val="22"/>
              </w:rPr>
              <w:t xml:space="preserve"> at </w:t>
            </w:r>
            <w:proofErr w:type="spellStart"/>
            <w:r w:rsidR="00545087" w:rsidRPr="00545087">
              <w:rPr>
                <w:sz w:val="22"/>
              </w:rPr>
              <w:t>UofG</w:t>
            </w:r>
            <w:proofErr w:type="spellEnd"/>
            <w:r w:rsidR="00545087" w:rsidRPr="00545087">
              <w:rPr>
                <w:sz w:val="22"/>
              </w:rPr>
              <w:t xml:space="preserve"> is a term used to describe learners who study at a distance </w:t>
            </w:r>
            <w:proofErr w:type="gramStart"/>
            <w:r w:rsidR="00545087" w:rsidRPr="00545087">
              <w:rPr>
                <w:sz w:val="22"/>
              </w:rPr>
              <w:t>i.e.</w:t>
            </w:r>
            <w:proofErr w:type="gramEnd"/>
            <w:r w:rsidR="00545087" w:rsidRPr="00545087">
              <w:rPr>
                <w:sz w:val="22"/>
              </w:rPr>
              <w:t xml:space="preserve"> away from campus, through online learning and connectivity. These students may be located anywhere and are usually not on-campus for any part of their studies. They may also access their learning at </w:t>
            </w:r>
            <w:proofErr w:type="spellStart"/>
            <w:r w:rsidR="00545087" w:rsidRPr="00545087">
              <w:rPr>
                <w:sz w:val="22"/>
              </w:rPr>
              <w:t>anytime</w:t>
            </w:r>
            <w:proofErr w:type="spellEnd"/>
            <w:r w:rsidR="00545087" w:rsidRPr="00545087">
              <w:rPr>
                <w:sz w:val="22"/>
              </w:rPr>
              <w:t>.</w:t>
            </w:r>
          </w:p>
        </w:tc>
      </w:tr>
    </w:tbl>
    <w:p w14:paraId="4DBF9086" w14:textId="77777777" w:rsidR="00A25961" w:rsidRPr="00A25961" w:rsidRDefault="00A25961" w:rsidP="00A25961">
      <w:pPr>
        <w:rPr>
          <w:sz w:val="22"/>
        </w:rPr>
      </w:pPr>
    </w:p>
    <w:sectPr w:rsidR="00A25961" w:rsidRPr="00A25961" w:rsidSect="00B42381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D66FA" w14:textId="77777777" w:rsidR="00A75D0A" w:rsidRDefault="00A75D0A" w:rsidP="00E013DC">
      <w:pPr>
        <w:spacing w:after="0"/>
      </w:pPr>
      <w:r>
        <w:separator/>
      </w:r>
    </w:p>
  </w:endnote>
  <w:endnote w:type="continuationSeparator" w:id="0">
    <w:p w14:paraId="39A697BE" w14:textId="77777777" w:rsidR="00A75D0A" w:rsidRDefault="00A75D0A" w:rsidP="00E013DC">
      <w:pPr>
        <w:spacing w:after="0"/>
      </w:pPr>
      <w:r>
        <w:continuationSeparator/>
      </w:r>
    </w:p>
  </w:endnote>
  <w:endnote w:type="continuationNotice" w:id="1">
    <w:p w14:paraId="02DB6909" w14:textId="77777777" w:rsidR="00A75D0A" w:rsidRDefault="00A75D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5EE47" w14:textId="0BA6DF99" w:rsidR="00E013DC" w:rsidRPr="00B37612" w:rsidRDefault="00E013DC">
    <w:pPr>
      <w:pStyle w:val="Footer"/>
      <w:rPr>
        <w:color w:val="404040" w:themeColor="text1" w:themeTint="BF"/>
        <w:lang w:val="en-US"/>
      </w:rPr>
    </w:pPr>
    <w:r w:rsidRPr="00B37612">
      <w:rPr>
        <w:color w:val="404040" w:themeColor="text1" w:themeTint="BF"/>
        <w:lang w:val="en-US"/>
      </w:rPr>
      <w:t>v.1.</w:t>
    </w:r>
    <w:r w:rsidR="00F64C02">
      <w:rPr>
        <w:color w:val="404040" w:themeColor="text1" w:themeTint="BF"/>
        <w:lang w:val="en-US"/>
      </w:rPr>
      <w:t>2</w:t>
    </w:r>
    <w:r w:rsidR="00F06DFC">
      <w:rPr>
        <w:color w:val="404040" w:themeColor="text1" w:themeTint="BF"/>
        <w:lang w:val="en-US"/>
      </w:rPr>
      <w:t>.</w:t>
    </w:r>
    <w:r w:rsidR="00291325">
      <w:rPr>
        <w:color w:val="404040" w:themeColor="text1" w:themeTint="BF"/>
        <w:lang w:val="en-US"/>
      </w:rPr>
      <w:t>2</w:t>
    </w:r>
    <w:r w:rsidR="00684178">
      <w:rPr>
        <w:color w:val="404040" w:themeColor="text1" w:themeTint="BF"/>
        <w:lang w:val="en-US"/>
      </w:rPr>
      <w:t>,</w:t>
    </w:r>
    <w:r w:rsidRPr="00B37612">
      <w:rPr>
        <w:color w:val="404040" w:themeColor="text1" w:themeTint="BF"/>
        <w:lang w:val="en-US"/>
      </w:rPr>
      <w:t xml:space="preserve"> </w:t>
    </w:r>
    <w:r w:rsidR="0005708E" w:rsidRPr="00B37612">
      <w:rPr>
        <w:color w:val="404040" w:themeColor="text1" w:themeTint="BF"/>
        <w:lang w:val="en-US"/>
      </w:rPr>
      <w:t>0</w:t>
    </w:r>
    <w:r w:rsidR="00291325">
      <w:rPr>
        <w:color w:val="404040" w:themeColor="text1" w:themeTint="BF"/>
        <w:lang w:val="en-US"/>
      </w:rPr>
      <w:t>5</w:t>
    </w:r>
    <w:r w:rsidR="00684178">
      <w:rPr>
        <w:color w:val="404040" w:themeColor="text1" w:themeTint="BF"/>
        <w:lang w:val="en-US"/>
      </w:rPr>
      <w:t xml:space="preserve"> </w:t>
    </w:r>
    <w:r w:rsidR="0005708E" w:rsidRPr="00B37612">
      <w:rPr>
        <w:color w:val="404040" w:themeColor="text1" w:themeTint="BF"/>
        <w:lang w:val="en-US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BA28F" w14:textId="77777777" w:rsidR="00A75D0A" w:rsidRDefault="00A75D0A" w:rsidP="00E013DC">
      <w:pPr>
        <w:spacing w:after="0"/>
      </w:pPr>
      <w:r>
        <w:separator/>
      </w:r>
    </w:p>
  </w:footnote>
  <w:footnote w:type="continuationSeparator" w:id="0">
    <w:p w14:paraId="313D2CE3" w14:textId="77777777" w:rsidR="00A75D0A" w:rsidRDefault="00A75D0A" w:rsidP="00E013DC">
      <w:pPr>
        <w:spacing w:after="0"/>
      </w:pPr>
      <w:r>
        <w:continuationSeparator/>
      </w:r>
    </w:p>
  </w:footnote>
  <w:footnote w:type="continuationNotice" w:id="1">
    <w:p w14:paraId="145D8D9E" w14:textId="77777777" w:rsidR="00A75D0A" w:rsidRDefault="00A75D0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682"/>
    <w:multiLevelType w:val="hybridMultilevel"/>
    <w:tmpl w:val="9490F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D3F0C"/>
    <w:multiLevelType w:val="hybridMultilevel"/>
    <w:tmpl w:val="CD92E9E2"/>
    <w:lvl w:ilvl="0" w:tplc="331AF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86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C2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A3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01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A9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03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D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89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5538"/>
    <w:multiLevelType w:val="hybridMultilevel"/>
    <w:tmpl w:val="1930B66A"/>
    <w:lvl w:ilvl="0" w:tplc="B704A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28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63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AC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01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09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44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E6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44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31ADC"/>
    <w:multiLevelType w:val="hybridMultilevel"/>
    <w:tmpl w:val="859421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15FA7"/>
    <w:multiLevelType w:val="hybridMultilevel"/>
    <w:tmpl w:val="FFFFFFFF"/>
    <w:lvl w:ilvl="0" w:tplc="8CF06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A2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CB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01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29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405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8D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EC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0A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441B"/>
    <w:multiLevelType w:val="hybridMultilevel"/>
    <w:tmpl w:val="F7A075AC"/>
    <w:lvl w:ilvl="0" w:tplc="ADAE6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E6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E5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4E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A6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CF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49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CD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66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B181C"/>
    <w:multiLevelType w:val="hybridMultilevel"/>
    <w:tmpl w:val="FFFFFFFF"/>
    <w:lvl w:ilvl="0" w:tplc="40A8F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6D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AB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86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80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C4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AB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68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53FFE"/>
    <w:multiLevelType w:val="hybridMultilevel"/>
    <w:tmpl w:val="8F58AE88"/>
    <w:lvl w:ilvl="0" w:tplc="2BB8A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84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4C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4F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00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26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EF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45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EB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41897"/>
    <w:multiLevelType w:val="hybridMultilevel"/>
    <w:tmpl w:val="FFFFFFFF"/>
    <w:lvl w:ilvl="0" w:tplc="413E5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EC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A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6C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83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6C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C9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2C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A0F99"/>
    <w:multiLevelType w:val="hybridMultilevel"/>
    <w:tmpl w:val="2ACE64A2"/>
    <w:lvl w:ilvl="0" w:tplc="170A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E2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AC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2E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61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AE3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4A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66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AD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3A"/>
    <w:rsid w:val="000054D8"/>
    <w:rsid w:val="00015603"/>
    <w:rsid w:val="00016F3F"/>
    <w:rsid w:val="000300A9"/>
    <w:rsid w:val="00033ECC"/>
    <w:rsid w:val="000439DC"/>
    <w:rsid w:val="000454B6"/>
    <w:rsid w:val="0005708E"/>
    <w:rsid w:val="00062E66"/>
    <w:rsid w:val="0006349B"/>
    <w:rsid w:val="00064806"/>
    <w:rsid w:val="00065754"/>
    <w:rsid w:val="00071908"/>
    <w:rsid w:val="000727CD"/>
    <w:rsid w:val="00086D73"/>
    <w:rsid w:val="00094B9F"/>
    <w:rsid w:val="000B07E6"/>
    <w:rsid w:val="000B4540"/>
    <w:rsid w:val="000C072B"/>
    <w:rsid w:val="000D4F8A"/>
    <w:rsid w:val="000E2776"/>
    <w:rsid w:val="000E7457"/>
    <w:rsid w:val="00102264"/>
    <w:rsid w:val="00112F76"/>
    <w:rsid w:val="00137C10"/>
    <w:rsid w:val="00156F92"/>
    <w:rsid w:val="00166516"/>
    <w:rsid w:val="00174CE4"/>
    <w:rsid w:val="00175584"/>
    <w:rsid w:val="00177ACF"/>
    <w:rsid w:val="0018329E"/>
    <w:rsid w:val="00184BE5"/>
    <w:rsid w:val="0018701C"/>
    <w:rsid w:val="00193424"/>
    <w:rsid w:val="0019643C"/>
    <w:rsid w:val="001B3477"/>
    <w:rsid w:val="001C2411"/>
    <w:rsid w:val="001D1F7C"/>
    <w:rsid w:val="001D20B0"/>
    <w:rsid w:val="001D38BD"/>
    <w:rsid w:val="001D4666"/>
    <w:rsid w:val="001D6600"/>
    <w:rsid w:val="001F0C31"/>
    <w:rsid w:val="001F2E2B"/>
    <w:rsid w:val="002143C2"/>
    <w:rsid w:val="00227DDC"/>
    <w:rsid w:val="00236208"/>
    <w:rsid w:val="0024377E"/>
    <w:rsid w:val="00244F75"/>
    <w:rsid w:val="00250938"/>
    <w:rsid w:val="00263A76"/>
    <w:rsid w:val="00272D38"/>
    <w:rsid w:val="00283B38"/>
    <w:rsid w:val="002840EE"/>
    <w:rsid w:val="00286B8B"/>
    <w:rsid w:val="00291325"/>
    <w:rsid w:val="002969BD"/>
    <w:rsid w:val="002B3161"/>
    <w:rsid w:val="002B5BE6"/>
    <w:rsid w:val="002C09F7"/>
    <w:rsid w:val="002C6E97"/>
    <w:rsid w:val="002C751A"/>
    <w:rsid w:val="002D2BF1"/>
    <w:rsid w:val="002D45CC"/>
    <w:rsid w:val="002F0240"/>
    <w:rsid w:val="003130AE"/>
    <w:rsid w:val="003139A3"/>
    <w:rsid w:val="00322C32"/>
    <w:rsid w:val="00331777"/>
    <w:rsid w:val="0033679F"/>
    <w:rsid w:val="00353922"/>
    <w:rsid w:val="003568EF"/>
    <w:rsid w:val="00382F89"/>
    <w:rsid w:val="00386CDF"/>
    <w:rsid w:val="0039752A"/>
    <w:rsid w:val="003A549C"/>
    <w:rsid w:val="003B0CB3"/>
    <w:rsid w:val="003B1187"/>
    <w:rsid w:val="003C7F7C"/>
    <w:rsid w:val="003D5212"/>
    <w:rsid w:val="003E0E72"/>
    <w:rsid w:val="003E28F9"/>
    <w:rsid w:val="0040013E"/>
    <w:rsid w:val="004107EB"/>
    <w:rsid w:val="004544CE"/>
    <w:rsid w:val="0048023B"/>
    <w:rsid w:val="0048333F"/>
    <w:rsid w:val="004952E4"/>
    <w:rsid w:val="004A69A1"/>
    <w:rsid w:val="004B0266"/>
    <w:rsid w:val="004B2AAF"/>
    <w:rsid w:val="004B38A6"/>
    <w:rsid w:val="004B4BBD"/>
    <w:rsid w:val="004D25A8"/>
    <w:rsid w:val="004D5144"/>
    <w:rsid w:val="004D590B"/>
    <w:rsid w:val="004D5B20"/>
    <w:rsid w:val="004D6AD0"/>
    <w:rsid w:val="004E3694"/>
    <w:rsid w:val="004E5076"/>
    <w:rsid w:val="004F31FA"/>
    <w:rsid w:val="004F67D8"/>
    <w:rsid w:val="005002DD"/>
    <w:rsid w:val="005070C4"/>
    <w:rsid w:val="00512337"/>
    <w:rsid w:val="00521DBB"/>
    <w:rsid w:val="005229DA"/>
    <w:rsid w:val="00527A7D"/>
    <w:rsid w:val="00540A11"/>
    <w:rsid w:val="00542E8A"/>
    <w:rsid w:val="00545087"/>
    <w:rsid w:val="0056268C"/>
    <w:rsid w:val="00574726"/>
    <w:rsid w:val="00575051"/>
    <w:rsid w:val="00576501"/>
    <w:rsid w:val="005872CA"/>
    <w:rsid w:val="00587BDB"/>
    <w:rsid w:val="00595C13"/>
    <w:rsid w:val="005A0483"/>
    <w:rsid w:val="005A5392"/>
    <w:rsid w:val="005A6193"/>
    <w:rsid w:val="005B20EE"/>
    <w:rsid w:val="005B28C0"/>
    <w:rsid w:val="005B6087"/>
    <w:rsid w:val="005B6D75"/>
    <w:rsid w:val="005E5868"/>
    <w:rsid w:val="005F16E6"/>
    <w:rsid w:val="005F6F8F"/>
    <w:rsid w:val="00615D3A"/>
    <w:rsid w:val="0062132B"/>
    <w:rsid w:val="00621470"/>
    <w:rsid w:val="00622E86"/>
    <w:rsid w:val="00635BCC"/>
    <w:rsid w:val="006431FB"/>
    <w:rsid w:val="0064612E"/>
    <w:rsid w:val="00647B46"/>
    <w:rsid w:val="00647ECA"/>
    <w:rsid w:val="00657633"/>
    <w:rsid w:val="00677B16"/>
    <w:rsid w:val="00684178"/>
    <w:rsid w:val="00687660"/>
    <w:rsid w:val="00697CAA"/>
    <w:rsid w:val="006A0012"/>
    <w:rsid w:val="006A19EA"/>
    <w:rsid w:val="006A26F9"/>
    <w:rsid w:val="006B51F6"/>
    <w:rsid w:val="006B7D62"/>
    <w:rsid w:val="006C3F86"/>
    <w:rsid w:val="006C78DB"/>
    <w:rsid w:val="006F26EC"/>
    <w:rsid w:val="006F3823"/>
    <w:rsid w:val="00700522"/>
    <w:rsid w:val="0071021E"/>
    <w:rsid w:val="00727F94"/>
    <w:rsid w:val="00734342"/>
    <w:rsid w:val="007359A4"/>
    <w:rsid w:val="00741303"/>
    <w:rsid w:val="00744C7F"/>
    <w:rsid w:val="00752369"/>
    <w:rsid w:val="007555E3"/>
    <w:rsid w:val="00761983"/>
    <w:rsid w:val="00772AE8"/>
    <w:rsid w:val="00774A82"/>
    <w:rsid w:val="00776238"/>
    <w:rsid w:val="00777019"/>
    <w:rsid w:val="0077733B"/>
    <w:rsid w:val="007864BA"/>
    <w:rsid w:val="00791ECD"/>
    <w:rsid w:val="007974E3"/>
    <w:rsid w:val="007A3E2B"/>
    <w:rsid w:val="007B1D81"/>
    <w:rsid w:val="007C1D88"/>
    <w:rsid w:val="007D003F"/>
    <w:rsid w:val="007D3C2D"/>
    <w:rsid w:val="007E2E59"/>
    <w:rsid w:val="007E3419"/>
    <w:rsid w:val="007E3D59"/>
    <w:rsid w:val="007E461E"/>
    <w:rsid w:val="007E6545"/>
    <w:rsid w:val="007F40CD"/>
    <w:rsid w:val="00802884"/>
    <w:rsid w:val="00815351"/>
    <w:rsid w:val="00830A7B"/>
    <w:rsid w:val="00841F3E"/>
    <w:rsid w:val="00862DB0"/>
    <w:rsid w:val="0086391C"/>
    <w:rsid w:val="00866766"/>
    <w:rsid w:val="00873993"/>
    <w:rsid w:val="00873B24"/>
    <w:rsid w:val="0087625D"/>
    <w:rsid w:val="00884EC0"/>
    <w:rsid w:val="00890728"/>
    <w:rsid w:val="00891E01"/>
    <w:rsid w:val="008C213F"/>
    <w:rsid w:val="008C3AD5"/>
    <w:rsid w:val="008D6AF5"/>
    <w:rsid w:val="008E1B1B"/>
    <w:rsid w:val="008E4A6A"/>
    <w:rsid w:val="008E58BB"/>
    <w:rsid w:val="008F6FB3"/>
    <w:rsid w:val="009054EC"/>
    <w:rsid w:val="009134A3"/>
    <w:rsid w:val="00920F61"/>
    <w:rsid w:val="0092248C"/>
    <w:rsid w:val="009234DD"/>
    <w:rsid w:val="00926F7B"/>
    <w:rsid w:val="0093493F"/>
    <w:rsid w:val="0093740D"/>
    <w:rsid w:val="00946010"/>
    <w:rsid w:val="009509A2"/>
    <w:rsid w:val="00953C24"/>
    <w:rsid w:val="00967636"/>
    <w:rsid w:val="00970C9A"/>
    <w:rsid w:val="009730A1"/>
    <w:rsid w:val="009A6E81"/>
    <w:rsid w:val="009B014B"/>
    <w:rsid w:val="009C57F7"/>
    <w:rsid w:val="009C5990"/>
    <w:rsid w:val="009D50FA"/>
    <w:rsid w:val="009E1AF1"/>
    <w:rsid w:val="009F2A7C"/>
    <w:rsid w:val="00A00A0B"/>
    <w:rsid w:val="00A05530"/>
    <w:rsid w:val="00A0591F"/>
    <w:rsid w:val="00A13093"/>
    <w:rsid w:val="00A22F18"/>
    <w:rsid w:val="00A25961"/>
    <w:rsid w:val="00A657BD"/>
    <w:rsid w:val="00A75D0A"/>
    <w:rsid w:val="00A77C3E"/>
    <w:rsid w:val="00AA0FBF"/>
    <w:rsid w:val="00AB2D7F"/>
    <w:rsid w:val="00AC0BD4"/>
    <w:rsid w:val="00AC3C2A"/>
    <w:rsid w:val="00AC72BA"/>
    <w:rsid w:val="00AE5F21"/>
    <w:rsid w:val="00B10E6C"/>
    <w:rsid w:val="00B25045"/>
    <w:rsid w:val="00B37612"/>
    <w:rsid w:val="00B42381"/>
    <w:rsid w:val="00B4784E"/>
    <w:rsid w:val="00B53936"/>
    <w:rsid w:val="00B61016"/>
    <w:rsid w:val="00B6187C"/>
    <w:rsid w:val="00B63115"/>
    <w:rsid w:val="00B64582"/>
    <w:rsid w:val="00B731D3"/>
    <w:rsid w:val="00B744F2"/>
    <w:rsid w:val="00B744FB"/>
    <w:rsid w:val="00B77EC4"/>
    <w:rsid w:val="00B82488"/>
    <w:rsid w:val="00B970F5"/>
    <w:rsid w:val="00BA4C59"/>
    <w:rsid w:val="00BB08B0"/>
    <w:rsid w:val="00BB3122"/>
    <w:rsid w:val="00BC4A6F"/>
    <w:rsid w:val="00BD2FE2"/>
    <w:rsid w:val="00BD67D9"/>
    <w:rsid w:val="00BF26A5"/>
    <w:rsid w:val="00BF3E91"/>
    <w:rsid w:val="00BF5337"/>
    <w:rsid w:val="00C02BAD"/>
    <w:rsid w:val="00C04358"/>
    <w:rsid w:val="00C07826"/>
    <w:rsid w:val="00C07B50"/>
    <w:rsid w:val="00C41BBA"/>
    <w:rsid w:val="00C52651"/>
    <w:rsid w:val="00C52751"/>
    <w:rsid w:val="00C61D9C"/>
    <w:rsid w:val="00C62293"/>
    <w:rsid w:val="00C626A1"/>
    <w:rsid w:val="00C644E9"/>
    <w:rsid w:val="00C66C12"/>
    <w:rsid w:val="00C77FDC"/>
    <w:rsid w:val="00C87CE7"/>
    <w:rsid w:val="00C90F08"/>
    <w:rsid w:val="00CD2A5D"/>
    <w:rsid w:val="00CD3555"/>
    <w:rsid w:val="00CD48BA"/>
    <w:rsid w:val="00CE715C"/>
    <w:rsid w:val="00CF4A8D"/>
    <w:rsid w:val="00CF6AD8"/>
    <w:rsid w:val="00D00C72"/>
    <w:rsid w:val="00D04771"/>
    <w:rsid w:val="00D10B6A"/>
    <w:rsid w:val="00D1475B"/>
    <w:rsid w:val="00D21453"/>
    <w:rsid w:val="00D330CE"/>
    <w:rsid w:val="00D34527"/>
    <w:rsid w:val="00D3587D"/>
    <w:rsid w:val="00D45253"/>
    <w:rsid w:val="00D46B17"/>
    <w:rsid w:val="00D47263"/>
    <w:rsid w:val="00D47F64"/>
    <w:rsid w:val="00D54F4D"/>
    <w:rsid w:val="00D606C6"/>
    <w:rsid w:val="00D667F2"/>
    <w:rsid w:val="00D77FED"/>
    <w:rsid w:val="00D821F7"/>
    <w:rsid w:val="00D83374"/>
    <w:rsid w:val="00D910A0"/>
    <w:rsid w:val="00D92D5C"/>
    <w:rsid w:val="00DA1254"/>
    <w:rsid w:val="00DA6103"/>
    <w:rsid w:val="00DB0D1A"/>
    <w:rsid w:val="00DB1B45"/>
    <w:rsid w:val="00DB493A"/>
    <w:rsid w:val="00DC02B2"/>
    <w:rsid w:val="00DC24AF"/>
    <w:rsid w:val="00DC48D8"/>
    <w:rsid w:val="00DD6DBD"/>
    <w:rsid w:val="00DE104B"/>
    <w:rsid w:val="00DF48C4"/>
    <w:rsid w:val="00E013DC"/>
    <w:rsid w:val="00E12FEA"/>
    <w:rsid w:val="00E33AE9"/>
    <w:rsid w:val="00E34D6F"/>
    <w:rsid w:val="00E36DBA"/>
    <w:rsid w:val="00E42BCA"/>
    <w:rsid w:val="00E53104"/>
    <w:rsid w:val="00E5487D"/>
    <w:rsid w:val="00E55C07"/>
    <w:rsid w:val="00E74D1A"/>
    <w:rsid w:val="00E834BB"/>
    <w:rsid w:val="00E85E59"/>
    <w:rsid w:val="00EA28A5"/>
    <w:rsid w:val="00EA7482"/>
    <w:rsid w:val="00EABD82"/>
    <w:rsid w:val="00EC0F20"/>
    <w:rsid w:val="00EC1F4A"/>
    <w:rsid w:val="00EC7DFB"/>
    <w:rsid w:val="00EE4E3D"/>
    <w:rsid w:val="00F02252"/>
    <w:rsid w:val="00F06DFC"/>
    <w:rsid w:val="00F10C67"/>
    <w:rsid w:val="00F11632"/>
    <w:rsid w:val="00F12931"/>
    <w:rsid w:val="00F12B7B"/>
    <w:rsid w:val="00F16879"/>
    <w:rsid w:val="00F207FB"/>
    <w:rsid w:val="00F25B04"/>
    <w:rsid w:val="00F2610D"/>
    <w:rsid w:val="00F33F1E"/>
    <w:rsid w:val="00F409DE"/>
    <w:rsid w:val="00F44B77"/>
    <w:rsid w:val="00F454DD"/>
    <w:rsid w:val="00F47A7F"/>
    <w:rsid w:val="00F519C9"/>
    <w:rsid w:val="00F5701A"/>
    <w:rsid w:val="00F64C02"/>
    <w:rsid w:val="00F6703F"/>
    <w:rsid w:val="00F67832"/>
    <w:rsid w:val="00F77938"/>
    <w:rsid w:val="00F842DA"/>
    <w:rsid w:val="00F84815"/>
    <w:rsid w:val="00F90536"/>
    <w:rsid w:val="00FA6B61"/>
    <w:rsid w:val="00FB2887"/>
    <w:rsid w:val="00FC159D"/>
    <w:rsid w:val="00FC4739"/>
    <w:rsid w:val="00FC6389"/>
    <w:rsid w:val="00FD627A"/>
    <w:rsid w:val="00FE1FBD"/>
    <w:rsid w:val="00FF10BD"/>
    <w:rsid w:val="01165AB0"/>
    <w:rsid w:val="019EEDAE"/>
    <w:rsid w:val="0218AC6A"/>
    <w:rsid w:val="0271A7C7"/>
    <w:rsid w:val="0284E2BC"/>
    <w:rsid w:val="02B5E53F"/>
    <w:rsid w:val="03AD1FFE"/>
    <w:rsid w:val="03C561CA"/>
    <w:rsid w:val="04463905"/>
    <w:rsid w:val="04A9CD65"/>
    <w:rsid w:val="04AF563C"/>
    <w:rsid w:val="0521C286"/>
    <w:rsid w:val="0540E433"/>
    <w:rsid w:val="0614DB9F"/>
    <w:rsid w:val="069EF789"/>
    <w:rsid w:val="06D3AFD3"/>
    <w:rsid w:val="08058412"/>
    <w:rsid w:val="084D1FA4"/>
    <w:rsid w:val="08752BCF"/>
    <w:rsid w:val="087D1955"/>
    <w:rsid w:val="096251FF"/>
    <w:rsid w:val="0AB3449C"/>
    <w:rsid w:val="0B073C33"/>
    <w:rsid w:val="0B5ED16D"/>
    <w:rsid w:val="0BE51FDA"/>
    <w:rsid w:val="0C652C07"/>
    <w:rsid w:val="0C6AF018"/>
    <w:rsid w:val="0CC6009E"/>
    <w:rsid w:val="0DD3B9C0"/>
    <w:rsid w:val="0EADE438"/>
    <w:rsid w:val="0EAF7C6F"/>
    <w:rsid w:val="0EB940D1"/>
    <w:rsid w:val="0ECCAA06"/>
    <w:rsid w:val="0F45DDAC"/>
    <w:rsid w:val="0FEB6062"/>
    <w:rsid w:val="110BEB23"/>
    <w:rsid w:val="11545E15"/>
    <w:rsid w:val="119A7E5B"/>
    <w:rsid w:val="11CA8E85"/>
    <w:rsid w:val="131DC2CA"/>
    <w:rsid w:val="1324CB86"/>
    <w:rsid w:val="14A01484"/>
    <w:rsid w:val="15FE8954"/>
    <w:rsid w:val="169C0FF9"/>
    <w:rsid w:val="18283243"/>
    <w:rsid w:val="1A29DA3E"/>
    <w:rsid w:val="1A58198B"/>
    <w:rsid w:val="1A5D0243"/>
    <w:rsid w:val="1B1B4794"/>
    <w:rsid w:val="1B2A87AE"/>
    <w:rsid w:val="1B4063A1"/>
    <w:rsid w:val="1BCADDE1"/>
    <w:rsid w:val="1C3A8ECB"/>
    <w:rsid w:val="1CE00FDB"/>
    <w:rsid w:val="1CFE9372"/>
    <w:rsid w:val="1D8FBA4D"/>
    <w:rsid w:val="1DA507CD"/>
    <w:rsid w:val="1DF35716"/>
    <w:rsid w:val="1E468118"/>
    <w:rsid w:val="1F964578"/>
    <w:rsid w:val="1FAE98DD"/>
    <w:rsid w:val="1FB9632C"/>
    <w:rsid w:val="201F4DA1"/>
    <w:rsid w:val="20242723"/>
    <w:rsid w:val="202EC854"/>
    <w:rsid w:val="20C1BE50"/>
    <w:rsid w:val="20FBF43B"/>
    <w:rsid w:val="22C2741D"/>
    <w:rsid w:val="22E68D95"/>
    <w:rsid w:val="23AE7B13"/>
    <w:rsid w:val="24226E99"/>
    <w:rsid w:val="255897CA"/>
    <w:rsid w:val="2573B905"/>
    <w:rsid w:val="26326912"/>
    <w:rsid w:val="2677A66F"/>
    <w:rsid w:val="26E53FFB"/>
    <w:rsid w:val="27369C93"/>
    <w:rsid w:val="28650C0A"/>
    <w:rsid w:val="2867DA9A"/>
    <w:rsid w:val="2A762ADB"/>
    <w:rsid w:val="2B542A4F"/>
    <w:rsid w:val="2C2216AC"/>
    <w:rsid w:val="2C4BA050"/>
    <w:rsid w:val="2CCC48C5"/>
    <w:rsid w:val="2D387D2D"/>
    <w:rsid w:val="2D72F2E7"/>
    <w:rsid w:val="2DEE399D"/>
    <w:rsid w:val="2E80A0E6"/>
    <w:rsid w:val="2E88F611"/>
    <w:rsid w:val="2E960A9B"/>
    <w:rsid w:val="2F195827"/>
    <w:rsid w:val="2F2D19A2"/>
    <w:rsid w:val="2F36AA83"/>
    <w:rsid w:val="3009980A"/>
    <w:rsid w:val="30148539"/>
    <w:rsid w:val="30EEA6E1"/>
    <w:rsid w:val="30FCBACA"/>
    <w:rsid w:val="312E11AF"/>
    <w:rsid w:val="3154413A"/>
    <w:rsid w:val="329C74EC"/>
    <w:rsid w:val="32B7E65E"/>
    <w:rsid w:val="32F4C2F7"/>
    <w:rsid w:val="330D8328"/>
    <w:rsid w:val="3311B568"/>
    <w:rsid w:val="337785AA"/>
    <w:rsid w:val="33A7BEB1"/>
    <w:rsid w:val="341EA0B8"/>
    <w:rsid w:val="345999AE"/>
    <w:rsid w:val="35183CAF"/>
    <w:rsid w:val="355FF86B"/>
    <w:rsid w:val="36C63716"/>
    <w:rsid w:val="37208E8A"/>
    <w:rsid w:val="374391F9"/>
    <w:rsid w:val="3754ADE3"/>
    <w:rsid w:val="37DD56C8"/>
    <w:rsid w:val="37E5268B"/>
    <w:rsid w:val="38196FDA"/>
    <w:rsid w:val="38603677"/>
    <w:rsid w:val="38759BEF"/>
    <w:rsid w:val="39867308"/>
    <w:rsid w:val="3A170035"/>
    <w:rsid w:val="3B01A7AD"/>
    <w:rsid w:val="3B10B5CB"/>
    <w:rsid w:val="3C0EF6A9"/>
    <w:rsid w:val="3C108A40"/>
    <w:rsid w:val="3C3DDDE7"/>
    <w:rsid w:val="3C5BC57B"/>
    <w:rsid w:val="3C8AF328"/>
    <w:rsid w:val="3CB897AE"/>
    <w:rsid w:val="3D83E506"/>
    <w:rsid w:val="3D8C239A"/>
    <w:rsid w:val="3E9062CA"/>
    <w:rsid w:val="3E9E89FD"/>
    <w:rsid w:val="3ECCE2E0"/>
    <w:rsid w:val="3F031E90"/>
    <w:rsid w:val="3F061DDA"/>
    <w:rsid w:val="3FE51348"/>
    <w:rsid w:val="407D2105"/>
    <w:rsid w:val="40A7C5E0"/>
    <w:rsid w:val="40B9CBE7"/>
    <w:rsid w:val="413A46DE"/>
    <w:rsid w:val="41FCDD02"/>
    <w:rsid w:val="429AF118"/>
    <w:rsid w:val="43700184"/>
    <w:rsid w:val="43A463A5"/>
    <w:rsid w:val="4435EC9B"/>
    <w:rsid w:val="447CEC6B"/>
    <w:rsid w:val="44AA8390"/>
    <w:rsid w:val="44FB5090"/>
    <w:rsid w:val="456104DD"/>
    <w:rsid w:val="45655831"/>
    <w:rsid w:val="46246011"/>
    <w:rsid w:val="469FAF85"/>
    <w:rsid w:val="48DE5650"/>
    <w:rsid w:val="49C8DE90"/>
    <w:rsid w:val="4A57280D"/>
    <w:rsid w:val="4AA7C86D"/>
    <w:rsid w:val="4ADC05ED"/>
    <w:rsid w:val="4B86559A"/>
    <w:rsid w:val="4C68E272"/>
    <w:rsid w:val="4C7557EC"/>
    <w:rsid w:val="4D171E12"/>
    <w:rsid w:val="4D4A4DCD"/>
    <w:rsid w:val="4D4DCEF6"/>
    <w:rsid w:val="4D975C91"/>
    <w:rsid w:val="4FA870BA"/>
    <w:rsid w:val="4FD57540"/>
    <w:rsid w:val="5046EFE1"/>
    <w:rsid w:val="50721C07"/>
    <w:rsid w:val="508E9665"/>
    <w:rsid w:val="50E5451C"/>
    <w:rsid w:val="51C90E92"/>
    <w:rsid w:val="51D3262C"/>
    <w:rsid w:val="51EC4E89"/>
    <w:rsid w:val="523E3E81"/>
    <w:rsid w:val="5325A953"/>
    <w:rsid w:val="53CBE6E9"/>
    <w:rsid w:val="5410CA4E"/>
    <w:rsid w:val="55FC9C19"/>
    <w:rsid w:val="5603081E"/>
    <w:rsid w:val="562673E7"/>
    <w:rsid w:val="56A32A43"/>
    <w:rsid w:val="56E73933"/>
    <w:rsid w:val="5718FD38"/>
    <w:rsid w:val="571E10CE"/>
    <w:rsid w:val="571F33AB"/>
    <w:rsid w:val="58444D5F"/>
    <w:rsid w:val="5909B10F"/>
    <w:rsid w:val="592B4C59"/>
    <w:rsid w:val="59DE3811"/>
    <w:rsid w:val="59E01DC0"/>
    <w:rsid w:val="5D1DC659"/>
    <w:rsid w:val="5DFE7FC7"/>
    <w:rsid w:val="5EF3C2B3"/>
    <w:rsid w:val="5EF61366"/>
    <w:rsid w:val="5F53AF86"/>
    <w:rsid w:val="60930125"/>
    <w:rsid w:val="615D7626"/>
    <w:rsid w:val="6163F62C"/>
    <w:rsid w:val="61F33A52"/>
    <w:rsid w:val="62F6D181"/>
    <w:rsid w:val="63D87922"/>
    <w:rsid w:val="63FDCD23"/>
    <w:rsid w:val="6436A8E2"/>
    <w:rsid w:val="64D164F5"/>
    <w:rsid w:val="64F470B8"/>
    <w:rsid w:val="65ECC9B9"/>
    <w:rsid w:val="668762B7"/>
    <w:rsid w:val="66D89212"/>
    <w:rsid w:val="66DE5235"/>
    <w:rsid w:val="6774835B"/>
    <w:rsid w:val="690A1A05"/>
    <w:rsid w:val="69255733"/>
    <w:rsid w:val="69F4B552"/>
    <w:rsid w:val="6A34FD26"/>
    <w:rsid w:val="6ADB9424"/>
    <w:rsid w:val="6B6183E7"/>
    <w:rsid w:val="6BDE490F"/>
    <w:rsid w:val="6C5E2F1C"/>
    <w:rsid w:val="6C65715E"/>
    <w:rsid w:val="6C8882B6"/>
    <w:rsid w:val="6CCB2F78"/>
    <w:rsid w:val="6D971FE9"/>
    <w:rsid w:val="6DD445EA"/>
    <w:rsid w:val="6EC1A32A"/>
    <w:rsid w:val="6F062B9F"/>
    <w:rsid w:val="6F41763A"/>
    <w:rsid w:val="70668991"/>
    <w:rsid w:val="707DC513"/>
    <w:rsid w:val="710B8D20"/>
    <w:rsid w:val="71576052"/>
    <w:rsid w:val="71CC004F"/>
    <w:rsid w:val="71D111F8"/>
    <w:rsid w:val="73D3E7CF"/>
    <w:rsid w:val="742555DD"/>
    <w:rsid w:val="74443BF4"/>
    <w:rsid w:val="745F6E14"/>
    <w:rsid w:val="747DC63D"/>
    <w:rsid w:val="74A7BBBB"/>
    <w:rsid w:val="74E398C6"/>
    <w:rsid w:val="75AA9D21"/>
    <w:rsid w:val="7635AC81"/>
    <w:rsid w:val="76DACC69"/>
    <w:rsid w:val="76F94AC4"/>
    <w:rsid w:val="77056C0B"/>
    <w:rsid w:val="775940EC"/>
    <w:rsid w:val="78F5114D"/>
    <w:rsid w:val="7A126D2B"/>
    <w:rsid w:val="7AF6B2CA"/>
    <w:rsid w:val="7B47BB9F"/>
    <w:rsid w:val="7B5F0A1C"/>
    <w:rsid w:val="7C1389B2"/>
    <w:rsid w:val="7C7A10F6"/>
    <w:rsid w:val="7CA9DCC9"/>
    <w:rsid w:val="7DC88270"/>
    <w:rsid w:val="7DE2741B"/>
    <w:rsid w:val="7EEF696B"/>
    <w:rsid w:val="7F3396A9"/>
    <w:rsid w:val="7F9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3947"/>
  <w15:chartTrackingRefBased/>
  <w15:docId w15:val="{1C5E78E0-5EED-2643-B6C2-6168745F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3A"/>
    <w:pPr>
      <w:spacing w:after="120"/>
    </w:pPr>
    <w:rPr>
      <w:rFonts w:asciiTheme="minorHAnsi" w:eastAsiaTheme="minorEastAsia" w:hAnsi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93A"/>
    <w:pPr>
      <w:keepNext/>
      <w:keepLines/>
      <w:spacing w:before="24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93A"/>
    <w:pPr>
      <w:keepNext/>
      <w:keepLines/>
      <w:spacing w:before="12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93A"/>
    <w:pPr>
      <w:keepNext/>
      <w:keepLines/>
      <w:spacing w:before="40"/>
      <w:outlineLvl w:val="2"/>
    </w:pPr>
    <w:rPr>
      <w:rFonts w:ascii="Calibri" w:eastAsiaTheme="majorEastAsia" w:hAnsi="Calibri" w:cstheme="majorBidi"/>
      <w:b/>
      <w:i/>
      <w:color w:val="0D0D0D" w:themeColor="text1" w:themeTint="F2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DB493A"/>
    <w:pPr>
      <w:keepNext/>
      <w:keepLines/>
      <w:spacing w:before="40"/>
      <w:outlineLvl w:val="6"/>
    </w:pPr>
    <w:rPr>
      <w:rFonts w:ascii="Calibri" w:eastAsiaTheme="majorEastAsia" w:hAnsi="Calibri" w:cstheme="majorBidi"/>
      <w:b/>
      <w:bCs/>
      <w:color w:val="70AD47" w:themeColor="accent6"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DB493A"/>
    <w:pPr>
      <w:keepNext/>
      <w:keepLines/>
      <w:spacing w:before="40"/>
      <w:outlineLvl w:val="7"/>
    </w:pPr>
    <w:rPr>
      <w:rFonts w:ascii="Calibri" w:eastAsiaTheme="majorEastAsia" w:hAnsi="Calibr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93A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70AD47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93A"/>
    <w:rPr>
      <w:rFonts w:asciiTheme="minorHAnsi" w:eastAsiaTheme="majorEastAsia" w:hAnsiTheme="minorHAnsi" w:cstheme="majorBidi"/>
      <w:b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93A"/>
    <w:rPr>
      <w:rFonts w:asciiTheme="minorHAnsi" w:eastAsiaTheme="majorEastAsia" w:hAnsiTheme="minorHAnsi" w:cstheme="majorBidi"/>
      <w:b/>
      <w:color w:val="262626" w:themeColor="text1" w:themeTint="D9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493A"/>
    <w:rPr>
      <w:rFonts w:eastAsiaTheme="majorEastAsia" w:cstheme="majorBidi"/>
      <w:b/>
      <w:i/>
      <w:color w:val="0D0D0D" w:themeColor="text1" w:themeTint="F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93A"/>
    <w:rPr>
      <w:rFonts w:eastAsiaTheme="majorEastAsia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93A"/>
    <w:rPr>
      <w:rFonts w:eastAsiaTheme="majorEastAsia" w:cstheme="majorBidi"/>
      <w:b/>
      <w:bCs/>
      <w:i/>
      <w:iCs/>
      <w:color w:val="70AD47" w:themeColor="accent6"/>
    </w:rPr>
  </w:style>
  <w:style w:type="character" w:customStyle="1" w:styleId="Heading9Char">
    <w:name w:val="Heading 9 Char"/>
    <w:link w:val="Heading9"/>
    <w:uiPriority w:val="9"/>
    <w:semiHidden/>
    <w:rsid w:val="00DB493A"/>
    <w:rPr>
      <w:rFonts w:ascii="Calibri Light" w:eastAsia="SimSun" w:hAnsi="Calibri Light" w:cstheme="minorBidi"/>
      <w:i/>
      <w:iCs/>
      <w:color w:val="70AD47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493A"/>
    <w:rPr>
      <w:bCs/>
      <w:i/>
      <w:color w:val="595959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B493A"/>
    <w:pPr>
      <w:spacing w:before="120" w:after="240"/>
    </w:pPr>
    <w:rPr>
      <w:rFonts w:eastAsiaTheme="majorEastAsia" w:cstheme="majorBidi"/>
      <w:spacing w:val="-10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93A"/>
    <w:rPr>
      <w:rFonts w:asciiTheme="minorHAnsi" w:eastAsiaTheme="majorEastAsia" w:hAnsiTheme="minorHAnsi" w:cstheme="majorBidi"/>
      <w:spacing w:val="-10"/>
      <w:sz w:val="40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B493A"/>
    <w:pPr>
      <w:numPr>
        <w:ilvl w:val="1"/>
      </w:numPr>
    </w:pPr>
    <w:rPr>
      <w:rFonts w:ascii="Calibri" w:eastAsiaTheme="majorEastAsia" w:hAnsi="Calibr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B493A"/>
    <w:rPr>
      <w:rFonts w:eastAsiaTheme="majorEastAsia" w:cstheme="majorBidi"/>
      <w:sz w:val="30"/>
      <w:szCs w:val="30"/>
    </w:rPr>
  </w:style>
  <w:style w:type="character" w:styleId="Strong">
    <w:name w:val="Strong"/>
    <w:uiPriority w:val="22"/>
    <w:qFormat/>
    <w:rsid w:val="00DB493A"/>
    <w:rPr>
      <w:b/>
      <w:bCs/>
    </w:rPr>
  </w:style>
  <w:style w:type="paragraph" w:styleId="NoSpacing">
    <w:name w:val="No Spacing"/>
    <w:link w:val="NoSpacingChar"/>
    <w:uiPriority w:val="1"/>
    <w:qFormat/>
    <w:rsid w:val="00DB493A"/>
    <w:rPr>
      <w:sz w:val="21"/>
      <w:szCs w:val="21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B493A"/>
    <w:rPr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DB49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493A"/>
    <w:pPr>
      <w:spacing w:before="160"/>
      <w:ind w:left="720" w:right="720"/>
    </w:pPr>
    <w:rPr>
      <w:rFonts w:ascii="Calibri" w:hAnsi="Calibri"/>
      <w:i/>
      <w:iCs/>
      <w:color w:val="262626"/>
      <w:szCs w:val="21"/>
      <w:lang w:eastAsia="en-GB"/>
    </w:rPr>
  </w:style>
  <w:style w:type="character" w:customStyle="1" w:styleId="QuoteChar">
    <w:name w:val="Quote Char"/>
    <w:link w:val="Quote"/>
    <w:uiPriority w:val="29"/>
    <w:rsid w:val="00DB493A"/>
    <w:rPr>
      <w:rFonts w:eastAsiaTheme="minorEastAsia" w:cstheme="minorBidi"/>
      <w:i/>
      <w:iCs/>
      <w:color w:val="262626"/>
      <w:sz w:val="24"/>
      <w:szCs w:val="21"/>
      <w:lang w:eastAsia="en-GB"/>
    </w:rPr>
  </w:style>
  <w:style w:type="character" w:styleId="SubtleEmphasis">
    <w:name w:val="Subtle Emphasis"/>
    <w:uiPriority w:val="19"/>
    <w:qFormat/>
    <w:rsid w:val="00DB493A"/>
    <w:rPr>
      <w:i/>
      <w:iCs/>
    </w:rPr>
  </w:style>
  <w:style w:type="character" w:styleId="IntenseEmphasis">
    <w:name w:val="Intense Emphasis"/>
    <w:uiPriority w:val="21"/>
    <w:qFormat/>
    <w:rsid w:val="00DB493A"/>
    <w:rPr>
      <w:b/>
      <w:bCs/>
      <w:i/>
      <w:iCs/>
    </w:rPr>
  </w:style>
  <w:style w:type="character" w:styleId="SubtleReference">
    <w:name w:val="Subtle Reference"/>
    <w:uiPriority w:val="31"/>
    <w:qFormat/>
    <w:rsid w:val="00DB493A"/>
    <w:rPr>
      <w:smallCaps/>
      <w:color w:val="595959"/>
    </w:rPr>
  </w:style>
  <w:style w:type="character" w:styleId="BookTitle">
    <w:name w:val="Book Title"/>
    <w:uiPriority w:val="33"/>
    <w:qFormat/>
    <w:rsid w:val="00DB493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93A"/>
    <w:pPr>
      <w:outlineLvl w:val="9"/>
    </w:pPr>
  </w:style>
  <w:style w:type="table" w:styleId="TableGrid">
    <w:name w:val="Table Grid"/>
    <w:basedOn w:val="TableNormal"/>
    <w:uiPriority w:val="39"/>
    <w:rsid w:val="00DB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3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13DC"/>
    <w:rPr>
      <w:rFonts w:asciiTheme="minorHAnsi" w:eastAsiaTheme="minorEastAsia" w:hAnsi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013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13DC"/>
    <w:rPr>
      <w:rFonts w:asciiTheme="minorHAnsi" w:eastAsiaTheme="minorEastAsia" w:hAnsiTheme="minorHAnsi" w:cstheme="minorBid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BB08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952E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C0BD4"/>
    <w:rPr>
      <w:rFonts w:asciiTheme="minorHAnsi" w:eastAsiaTheme="minorEastAsia" w:hAnsiTheme="minorHAnsi" w:cstheme="minorBidi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4527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68C"/>
    <w:rPr>
      <w:rFonts w:asciiTheme="minorHAnsi" w:eastAsiaTheme="minorEastAsia" w:hAnsiTheme="minorHAnsi" w:cstheme="minorBidi"/>
      <w:b/>
      <w:bCs/>
    </w:rPr>
  </w:style>
  <w:style w:type="character" w:styleId="Mention">
    <w:name w:val="Mention"/>
    <w:basedOn w:val="DefaultParagraphFont"/>
    <w:uiPriority w:val="99"/>
    <w:unhideWhenUsed/>
    <w:rsid w:val="005F16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aa.ac.uk/docs/qaa/guidance/building-a-taxonomy-for-digital-learning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aa.ac.uk/docs/qaa/guidance/building-a-taxonomy-for-digital-learning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inyurl.com/ybmwg3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C4FD69EA1E24D8E285EBEC5234FAF" ma:contentTypeVersion="11" ma:contentTypeDescription="Create a new document." ma:contentTypeScope="" ma:versionID="a0d6f603c8be73add9a0624f437a3e3b">
  <xsd:schema xmlns:xsd="http://www.w3.org/2001/XMLSchema" xmlns:xs="http://www.w3.org/2001/XMLSchema" xmlns:p="http://schemas.microsoft.com/office/2006/metadata/properties" xmlns:ns2="fdc8312d-25c7-4a0c-a77c-e9281b567d89" xmlns:ns3="94e70db4-eadf-4ccf-92f7-34c25b369377" targetNamespace="http://schemas.microsoft.com/office/2006/metadata/properties" ma:root="true" ma:fieldsID="88529f00f6aed071628267d9e2f8fa65" ns2:_="" ns3:_="">
    <xsd:import namespace="fdc8312d-25c7-4a0c-a77c-e9281b567d89"/>
    <xsd:import namespace="94e70db4-eadf-4ccf-92f7-34c25b369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312d-25c7-4a0c-a77c-e9281b567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0db4-eadf-4ccf-92f7-34c25b369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89435-B939-4272-B23A-DFA8084CE55B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1C248-6177-48E0-BC2F-8D49B3B29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54141-0ECA-47F1-A906-41A12769C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312d-25c7-4a0c-a77c-e9281b567d89"/>
    <ds:schemaRef ds:uri="94e70db4-eadf-4ccf-92f7-34c25b369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Kipar</dc:creator>
  <cp:keywords/>
  <dc:description/>
  <cp:lastModifiedBy>Paul Robertson</cp:lastModifiedBy>
  <cp:revision>2</cp:revision>
  <dcterms:created xsi:type="dcterms:W3CDTF">2021-06-27T22:52:00Z</dcterms:created>
  <dcterms:modified xsi:type="dcterms:W3CDTF">2021-06-27T22:52:00Z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0x010100727C4FD69EA1E24D8E285EBEC5234FAF</vt:lpwstr>
  </property>
</Properties>
</file>