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16ADC" w14:textId="77777777" w:rsidR="00F13568" w:rsidRDefault="00F13568" w:rsidP="00F13568">
      <w:pPr>
        <w:pStyle w:val="xmsonormal"/>
      </w:pPr>
      <w:r>
        <w:rPr>
          <w:b/>
          <w:bCs/>
          <w:color w:val="002060"/>
          <w:sz w:val="24"/>
          <w:szCs w:val="24"/>
        </w:rPr>
        <w:t>The University Ethics Committee (UEC) reports to the Senate of the University of Glasgow, and is responsible for policies and procedures in place, across the University, relating to non-clinical research involving human participants.</w:t>
      </w:r>
    </w:p>
    <w:p w14:paraId="482D5DA7" w14:textId="77777777" w:rsidR="00F13568" w:rsidRDefault="00F13568" w:rsidP="00F13568">
      <w:pPr>
        <w:pStyle w:val="xmsonormal"/>
      </w:pPr>
      <w:r>
        <w:rPr>
          <w:b/>
          <w:bCs/>
          <w:color w:val="002060"/>
          <w:sz w:val="24"/>
          <w:szCs w:val="24"/>
        </w:rPr>
        <w:t> </w:t>
      </w:r>
    </w:p>
    <w:p w14:paraId="0F6EA072" w14:textId="77777777" w:rsidR="00F13568" w:rsidRDefault="00F13568" w:rsidP="00F13568">
      <w:pPr>
        <w:pStyle w:val="xmsonormal"/>
      </w:pPr>
      <w:r>
        <w:rPr>
          <w:b/>
          <w:bCs/>
          <w:color w:val="002060"/>
          <w:sz w:val="24"/>
          <w:szCs w:val="24"/>
        </w:rPr>
        <w:t xml:space="preserve">Members of UEC, or its four College subcommittee research ethics committees (CRECs) however, are not </w:t>
      </w:r>
      <w:proofErr w:type="gramStart"/>
      <w:r>
        <w:rPr>
          <w:b/>
          <w:bCs/>
          <w:color w:val="002060"/>
          <w:sz w:val="24"/>
          <w:szCs w:val="24"/>
        </w:rPr>
        <w:t>in a position</w:t>
      </w:r>
      <w:proofErr w:type="gramEnd"/>
      <w:r>
        <w:rPr>
          <w:b/>
          <w:bCs/>
          <w:color w:val="002060"/>
          <w:sz w:val="24"/>
          <w:szCs w:val="24"/>
        </w:rPr>
        <w:t xml:space="preserve"> to advise on matters of insurance, data management, or legislation (including GDPR).</w:t>
      </w:r>
      <w:r>
        <w:rPr>
          <w:rStyle w:val="xapple-converted-space"/>
          <w:b/>
          <w:bCs/>
          <w:color w:val="002060"/>
          <w:sz w:val="24"/>
          <w:szCs w:val="24"/>
        </w:rPr>
        <w:t> </w:t>
      </w:r>
    </w:p>
    <w:p w14:paraId="220DE18D" w14:textId="77777777" w:rsidR="00F13568" w:rsidRDefault="00F13568" w:rsidP="00F13568">
      <w:pPr>
        <w:pStyle w:val="xmsonormal"/>
      </w:pPr>
      <w:r>
        <w:rPr>
          <w:color w:val="002060"/>
          <w:sz w:val="24"/>
          <w:szCs w:val="24"/>
        </w:rPr>
        <w:t> </w:t>
      </w:r>
    </w:p>
    <w:p w14:paraId="0992912D" w14:textId="77777777" w:rsidR="00F13568" w:rsidRDefault="00F13568" w:rsidP="00F13568">
      <w:pPr>
        <w:pStyle w:val="xmsonormal"/>
      </w:pPr>
      <w:r>
        <w:rPr>
          <w:b/>
          <w:bCs/>
          <w:color w:val="002060"/>
          <w:sz w:val="24"/>
          <w:szCs w:val="24"/>
        </w:rPr>
        <w:t>There is of course overlap between some of these areas and research ethics. If committees have any concerns regarding these areas in submitted applications, they may provide advice, and may be unable to approve a study until issues have been addressed.</w:t>
      </w:r>
    </w:p>
    <w:p w14:paraId="56D8329A" w14:textId="77777777" w:rsidR="00F13568" w:rsidRDefault="00F13568" w:rsidP="00F13568">
      <w:pPr>
        <w:pStyle w:val="xmsonormal"/>
      </w:pPr>
      <w:r>
        <w:rPr>
          <w:color w:val="002060"/>
          <w:sz w:val="24"/>
          <w:szCs w:val="24"/>
        </w:rPr>
        <w:t> </w:t>
      </w:r>
    </w:p>
    <w:p w14:paraId="3F1A342F" w14:textId="77777777" w:rsidR="00F13568" w:rsidRDefault="00F13568" w:rsidP="00F13568">
      <w:pPr>
        <w:pStyle w:val="xmsonormal"/>
      </w:pPr>
      <w:r>
        <w:rPr>
          <w:b/>
          <w:bCs/>
          <w:color w:val="002060"/>
          <w:sz w:val="24"/>
          <w:szCs w:val="24"/>
        </w:rPr>
        <w:t> </w:t>
      </w:r>
    </w:p>
    <w:p w14:paraId="6B50BAAD" w14:textId="77777777" w:rsidR="00F13568" w:rsidRDefault="00F13568" w:rsidP="00F13568">
      <w:pPr>
        <w:pStyle w:val="xmsonormal"/>
      </w:pPr>
      <w:r>
        <w:rPr>
          <w:b/>
          <w:bCs/>
          <w:color w:val="002060"/>
          <w:sz w:val="24"/>
          <w:szCs w:val="24"/>
        </w:rPr>
        <w:t>Useful links where relevant information may be found as are follows:</w:t>
      </w:r>
    </w:p>
    <w:p w14:paraId="13166341" w14:textId="77777777" w:rsidR="00F13568" w:rsidRDefault="00F13568" w:rsidP="00F13568">
      <w:pPr>
        <w:pStyle w:val="xmsonormal"/>
      </w:pPr>
      <w:r>
        <w:rPr>
          <w:b/>
          <w:bCs/>
          <w:color w:val="002060"/>
          <w:sz w:val="24"/>
          <w:szCs w:val="24"/>
        </w:rPr>
        <w:t> </w:t>
      </w:r>
    </w:p>
    <w:p w14:paraId="5CEA775F" w14:textId="77777777" w:rsidR="00F13568" w:rsidRDefault="00F13568" w:rsidP="00F13568">
      <w:pPr>
        <w:pStyle w:val="xmsonormal"/>
      </w:pPr>
      <w:r>
        <w:rPr>
          <w:b/>
          <w:bCs/>
          <w:color w:val="002060"/>
          <w:sz w:val="24"/>
          <w:szCs w:val="24"/>
        </w:rPr>
        <w:t>Insurance:</w:t>
      </w:r>
      <w:r>
        <w:rPr>
          <w:rStyle w:val="xapple-converted-space"/>
          <w:b/>
          <w:bCs/>
          <w:color w:val="002060"/>
          <w:sz w:val="24"/>
          <w:szCs w:val="24"/>
        </w:rPr>
        <w:t> </w:t>
      </w:r>
      <w:hyperlink r:id="rId4" w:tooltip="https://www.gla.ac.uk/myglasgow/insuranceandrisk/" w:history="1">
        <w:r>
          <w:rPr>
            <w:rStyle w:val="Hyperlink"/>
            <w:b/>
            <w:bCs/>
            <w:color w:val="0563C1"/>
            <w:sz w:val="24"/>
            <w:szCs w:val="24"/>
            <w:lang w:val="en-US"/>
          </w:rPr>
          <w:t>https://www.gla.ac.uk/myglasgow/insuranceandrisk/</w:t>
        </w:r>
      </w:hyperlink>
    </w:p>
    <w:p w14:paraId="29F271A6" w14:textId="77777777" w:rsidR="00F13568" w:rsidRDefault="00F13568" w:rsidP="00F13568">
      <w:pPr>
        <w:pStyle w:val="xmsonormal"/>
      </w:pPr>
      <w:r>
        <w:rPr>
          <w:b/>
          <w:bCs/>
          <w:color w:val="002060"/>
          <w:sz w:val="24"/>
          <w:szCs w:val="24"/>
        </w:rPr>
        <w:t> </w:t>
      </w:r>
    </w:p>
    <w:p w14:paraId="54FEA3A0" w14:textId="77777777" w:rsidR="00F13568" w:rsidRDefault="00F13568" w:rsidP="00F13568">
      <w:pPr>
        <w:pStyle w:val="xmsonormal"/>
      </w:pPr>
      <w:r>
        <w:rPr>
          <w:b/>
          <w:bCs/>
          <w:color w:val="002060"/>
          <w:sz w:val="24"/>
          <w:szCs w:val="24"/>
        </w:rPr>
        <w:t>Data management support for researchers:</w:t>
      </w:r>
      <w:r>
        <w:rPr>
          <w:rStyle w:val="xapple-converted-space"/>
          <w:b/>
          <w:bCs/>
          <w:color w:val="002060"/>
          <w:sz w:val="24"/>
          <w:szCs w:val="24"/>
        </w:rPr>
        <w:t> </w:t>
      </w:r>
      <w:hyperlink r:id="rId5" w:tooltip="https://www.gla.ac.uk/myglasgow/datamanagement/" w:history="1">
        <w:r>
          <w:rPr>
            <w:rStyle w:val="Hyperlink"/>
            <w:b/>
            <w:bCs/>
            <w:color w:val="0563C1"/>
            <w:sz w:val="24"/>
            <w:szCs w:val="24"/>
          </w:rPr>
          <w:t>https://www.gla.ac.uk/myglasgow/datamanagement/</w:t>
        </w:r>
      </w:hyperlink>
    </w:p>
    <w:p w14:paraId="47D8256A" w14:textId="77777777" w:rsidR="00F13568" w:rsidRDefault="00F13568" w:rsidP="00F13568">
      <w:pPr>
        <w:pStyle w:val="xmsonormal"/>
      </w:pPr>
      <w:r>
        <w:rPr>
          <w:b/>
          <w:bCs/>
          <w:color w:val="002060"/>
          <w:sz w:val="24"/>
          <w:szCs w:val="24"/>
        </w:rPr>
        <w:t> </w:t>
      </w:r>
    </w:p>
    <w:p w14:paraId="4A2029C0" w14:textId="77777777" w:rsidR="00F13568" w:rsidRDefault="00F13568" w:rsidP="00F13568">
      <w:pPr>
        <w:pStyle w:val="xmsonormal"/>
      </w:pPr>
      <w:r>
        <w:rPr>
          <w:b/>
          <w:bCs/>
          <w:color w:val="002060"/>
          <w:sz w:val="24"/>
          <w:szCs w:val="24"/>
        </w:rPr>
        <w:t>Data Protection and Freedom of Information:</w:t>
      </w:r>
      <w:r>
        <w:rPr>
          <w:rStyle w:val="xapple-converted-space"/>
          <w:b/>
          <w:bCs/>
          <w:color w:val="002060"/>
          <w:sz w:val="24"/>
          <w:szCs w:val="24"/>
        </w:rPr>
        <w:t> </w:t>
      </w:r>
      <w:hyperlink r:id="rId6" w:history="1">
        <w:r>
          <w:rPr>
            <w:rStyle w:val="Hyperlink"/>
            <w:b/>
            <w:bCs/>
            <w:color w:val="0563C1"/>
            <w:sz w:val="24"/>
            <w:szCs w:val="24"/>
          </w:rPr>
          <w:t>https://www.gla.ac.uk/myglasgow/dpfoioffice</w:t>
        </w:r>
      </w:hyperlink>
      <w:r>
        <w:rPr>
          <w:b/>
          <w:bCs/>
          <w:color w:val="002060"/>
          <w:sz w:val="24"/>
          <w:szCs w:val="24"/>
        </w:rPr>
        <w:t>/</w:t>
      </w:r>
    </w:p>
    <w:p w14:paraId="4EEE8736" w14:textId="77777777" w:rsidR="00F13568" w:rsidRDefault="00F13568" w:rsidP="00F13568">
      <w:pPr>
        <w:pStyle w:val="xmsonormal"/>
      </w:pPr>
      <w:r>
        <w:rPr>
          <w:b/>
          <w:bCs/>
          <w:color w:val="002060"/>
          <w:sz w:val="24"/>
          <w:szCs w:val="24"/>
        </w:rPr>
        <w:t> </w:t>
      </w:r>
    </w:p>
    <w:p w14:paraId="2FC60201" w14:textId="77777777" w:rsidR="00F13568" w:rsidRDefault="00F13568" w:rsidP="00F13568">
      <w:pPr>
        <w:pStyle w:val="xmsonormal"/>
      </w:pPr>
      <w:r>
        <w:rPr>
          <w:b/>
          <w:bCs/>
          <w:color w:val="003560"/>
          <w:sz w:val="24"/>
          <w:szCs w:val="24"/>
          <w:lang w:val="en-US"/>
        </w:rPr>
        <w:t>Research Integrity</w:t>
      </w:r>
      <w:r>
        <w:rPr>
          <w:rFonts w:ascii="Arial" w:hAnsi="Arial" w:cs="Arial"/>
          <w:b/>
          <w:bCs/>
          <w:color w:val="003560"/>
          <w:sz w:val="24"/>
          <w:szCs w:val="24"/>
          <w:lang w:val="en-US"/>
        </w:rPr>
        <w:t>:</w:t>
      </w:r>
      <w:hyperlink r:id="rId7" w:tooltip="https://www.gla.ac.uk/myglasgow/ris/researchpolicies/researchintegrity/" w:history="1">
        <w:r>
          <w:rPr>
            <w:rStyle w:val="Hyperlink"/>
            <w:b/>
            <w:bCs/>
            <w:color w:val="0070C0"/>
            <w:sz w:val="24"/>
            <w:szCs w:val="24"/>
            <w:lang w:val="en-US"/>
          </w:rPr>
          <w:t>https://www.gla.ac.uk/myglasgow/ris/researchpolicies/researchintegrity/</w:t>
        </w:r>
      </w:hyperlink>
    </w:p>
    <w:p w14:paraId="5A479C9B" w14:textId="77777777" w:rsidR="00F13568" w:rsidRDefault="00F13568" w:rsidP="00F13568">
      <w:pPr>
        <w:pStyle w:val="xmsonormal"/>
      </w:pPr>
      <w:r>
        <w:rPr>
          <w:b/>
          <w:bCs/>
          <w:color w:val="002060"/>
          <w:sz w:val="24"/>
          <w:szCs w:val="24"/>
        </w:rPr>
        <w:t> </w:t>
      </w:r>
    </w:p>
    <w:p w14:paraId="084FC1A6" w14:textId="77777777" w:rsidR="00F13568" w:rsidRDefault="00F13568" w:rsidP="00F13568">
      <w:pPr>
        <w:pStyle w:val="xmsonormal"/>
      </w:pPr>
      <w:r>
        <w:rPr>
          <w:b/>
          <w:bCs/>
          <w:color w:val="002060"/>
          <w:sz w:val="24"/>
          <w:szCs w:val="24"/>
          <w:lang w:val="en-US"/>
        </w:rPr>
        <w:t>Policy for the safeguarding of children, young people and vulnerable adults</w:t>
      </w:r>
      <w:r>
        <w:rPr>
          <w:b/>
          <w:bCs/>
          <w:color w:val="0070C0"/>
          <w:sz w:val="24"/>
          <w:szCs w:val="24"/>
          <w:lang w:val="en-US"/>
        </w:rPr>
        <w:t>:</w:t>
      </w:r>
      <w:r>
        <w:rPr>
          <w:rStyle w:val="xapple-converted-space"/>
          <w:b/>
          <w:bCs/>
          <w:color w:val="0070C0"/>
          <w:sz w:val="24"/>
          <w:szCs w:val="24"/>
          <w:lang w:val="en-US"/>
        </w:rPr>
        <w:t> </w:t>
      </w:r>
      <w:hyperlink r:id="rId8" w:tooltip="https://www.gla.ac.uk/myglasgow/senateoffice/policies/studentsupport/safeguardingpolicypage/" w:history="1">
        <w:r>
          <w:rPr>
            <w:rStyle w:val="Hyperlink"/>
            <w:b/>
            <w:bCs/>
            <w:color w:val="0563C1"/>
            <w:sz w:val="24"/>
            <w:szCs w:val="24"/>
            <w:lang w:val="en-US"/>
          </w:rPr>
          <w:t>https://www.gla.ac.uk/myglasgow/senateoffice/policies/studentsupport/safeguardingpolicypage/</w:t>
        </w:r>
      </w:hyperlink>
    </w:p>
    <w:p w14:paraId="76C4C0E3" w14:textId="77777777" w:rsidR="00F13568" w:rsidRDefault="00F13568" w:rsidP="00F13568">
      <w:pPr>
        <w:pStyle w:val="xmsonormal"/>
      </w:pPr>
      <w:r>
        <w:rPr>
          <w:color w:val="002060"/>
          <w:sz w:val="24"/>
          <w:szCs w:val="24"/>
        </w:rPr>
        <w:t> </w:t>
      </w:r>
    </w:p>
    <w:p w14:paraId="7528BE85" w14:textId="77777777" w:rsidR="00F13568" w:rsidRDefault="00F13568" w:rsidP="00F13568">
      <w:pPr>
        <w:pStyle w:val="xmsonormal"/>
      </w:pPr>
      <w:r>
        <w:rPr>
          <w:b/>
          <w:bCs/>
          <w:color w:val="002060"/>
          <w:sz w:val="24"/>
          <w:szCs w:val="24"/>
        </w:rPr>
        <w:t>Health, Safety and Wellbeing:  </w:t>
      </w:r>
      <w:hyperlink r:id="rId9" w:history="1">
        <w:r>
          <w:rPr>
            <w:rStyle w:val="Hyperlink"/>
            <w:b/>
            <w:bCs/>
            <w:color w:val="0563C1"/>
            <w:sz w:val="24"/>
            <w:szCs w:val="24"/>
          </w:rPr>
          <w:t>https://www.gla.ac.uk/myglasgow/health/</w:t>
        </w:r>
      </w:hyperlink>
    </w:p>
    <w:p w14:paraId="3721F079" w14:textId="77777777" w:rsidR="00F13568" w:rsidRDefault="00F13568" w:rsidP="00F13568">
      <w:pPr>
        <w:pStyle w:val="xmsonormal"/>
      </w:pPr>
      <w:r>
        <w:rPr>
          <w:color w:val="002060"/>
          <w:sz w:val="24"/>
          <w:szCs w:val="24"/>
        </w:rPr>
        <w:t> </w:t>
      </w:r>
    </w:p>
    <w:p w14:paraId="2C132B0C" w14:textId="77777777" w:rsidR="00F13568" w:rsidRDefault="00F13568" w:rsidP="00F13568">
      <w:pPr>
        <w:pStyle w:val="xmsonormal"/>
      </w:pPr>
      <w:r>
        <w:rPr>
          <w:color w:val="000000"/>
          <w:sz w:val="24"/>
          <w:szCs w:val="24"/>
        </w:rPr>
        <w:t> </w:t>
      </w:r>
    </w:p>
    <w:p w14:paraId="783A6BD4" w14:textId="77777777" w:rsidR="009C4C06" w:rsidRDefault="009C4C06"/>
    <w:sectPr w:rsidR="009C4C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68"/>
    <w:rsid w:val="0003450E"/>
    <w:rsid w:val="009C4C06"/>
    <w:rsid w:val="00F1356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1921B"/>
  <w15:chartTrackingRefBased/>
  <w15:docId w15:val="{11E84272-1ED0-4C5F-A632-62C186273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3568"/>
    <w:rPr>
      <w:color w:val="0000FF"/>
      <w:u w:val="single"/>
    </w:rPr>
  </w:style>
  <w:style w:type="paragraph" w:customStyle="1" w:styleId="xmsonormal">
    <w:name w:val="x_msonormal"/>
    <w:basedOn w:val="Normal"/>
    <w:rsid w:val="00F13568"/>
    <w:pPr>
      <w:spacing w:after="0" w:line="240" w:lineRule="auto"/>
    </w:pPr>
    <w:rPr>
      <w:rFonts w:ascii="Calibri" w:hAnsi="Calibri" w:cs="Calibri"/>
    </w:rPr>
  </w:style>
  <w:style w:type="character" w:customStyle="1" w:styleId="xapple-converted-space">
    <w:name w:val="x_apple-converted-space"/>
    <w:basedOn w:val="DefaultParagraphFont"/>
    <w:rsid w:val="00F13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83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ac.uk/myglasgow/senateoffice/policies/studentsupport/safeguardingpolicypage/" TargetMode="External"/><Relationship Id="rId3" Type="http://schemas.openxmlformats.org/officeDocument/2006/relationships/webSettings" Target="webSettings.xml"/><Relationship Id="rId7" Type="http://schemas.openxmlformats.org/officeDocument/2006/relationships/hyperlink" Target="https://www.gla.ac.uk/myglasgow/ris/researchpolicies/researchintegri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la.ac.uk/myglasgow/dpfoioffice" TargetMode="External"/><Relationship Id="rId11" Type="http://schemas.openxmlformats.org/officeDocument/2006/relationships/theme" Target="theme/theme1.xml"/><Relationship Id="rId5" Type="http://schemas.openxmlformats.org/officeDocument/2006/relationships/hyperlink" Target="https://www.gla.ac.uk/myglasgow/datamanagement/" TargetMode="External"/><Relationship Id="rId10" Type="http://schemas.openxmlformats.org/officeDocument/2006/relationships/fontTable" Target="fontTable.xml"/><Relationship Id="rId4" Type="http://schemas.openxmlformats.org/officeDocument/2006/relationships/hyperlink" Target="https://www.gla.ac.uk/myglasgow/insuranceandrisk/" TargetMode="External"/><Relationship Id="rId9" Type="http://schemas.openxmlformats.org/officeDocument/2006/relationships/hyperlink" Target="https://www.gla.ac.uk/myglasgow/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Little</dc:creator>
  <cp:keywords/>
  <dc:description/>
  <cp:lastModifiedBy>Rhona Little</cp:lastModifiedBy>
  <cp:revision>1</cp:revision>
  <dcterms:created xsi:type="dcterms:W3CDTF">2021-05-27T14:11:00Z</dcterms:created>
  <dcterms:modified xsi:type="dcterms:W3CDTF">2021-05-27T14:12:00Z</dcterms:modified>
</cp:coreProperties>
</file>