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6C991" w14:textId="77BFE327" w:rsidR="00175013" w:rsidRPr="00EC7CBA" w:rsidRDefault="00175013" w:rsidP="007E2C65">
      <w:pPr>
        <w:spacing w:after="0" w:line="240" w:lineRule="auto"/>
        <w:jc w:val="center"/>
        <w:rPr>
          <w:rFonts w:cstheme="minorHAnsi"/>
          <w:b/>
          <w:bCs/>
          <w:u w:val="single"/>
        </w:rPr>
      </w:pPr>
      <w:r w:rsidRPr="00EC7CBA">
        <w:rPr>
          <w:rFonts w:cstheme="minorHAnsi"/>
          <w:b/>
          <w:bCs/>
          <w:u w:val="single"/>
        </w:rPr>
        <w:t xml:space="preserve">Fitness to </w:t>
      </w:r>
      <w:r w:rsidR="00F11712" w:rsidRPr="00EC7CBA">
        <w:rPr>
          <w:rFonts w:cstheme="minorHAnsi"/>
          <w:b/>
          <w:bCs/>
          <w:u w:val="single"/>
        </w:rPr>
        <w:t>S</w:t>
      </w:r>
      <w:r w:rsidRPr="00EC7CBA">
        <w:rPr>
          <w:rFonts w:cstheme="minorHAnsi"/>
          <w:b/>
          <w:bCs/>
          <w:u w:val="single"/>
        </w:rPr>
        <w:t>tudy</w:t>
      </w:r>
      <w:r w:rsidR="00275D22">
        <w:rPr>
          <w:rFonts w:cstheme="minorHAnsi"/>
          <w:b/>
          <w:bCs/>
          <w:u w:val="single"/>
        </w:rPr>
        <w:t xml:space="preserve"> -</w:t>
      </w:r>
      <w:r w:rsidRPr="00EC7CBA">
        <w:rPr>
          <w:rFonts w:cstheme="minorHAnsi"/>
          <w:b/>
          <w:bCs/>
          <w:u w:val="single"/>
        </w:rPr>
        <w:t xml:space="preserve"> </w:t>
      </w:r>
      <w:r w:rsidR="00F11712" w:rsidRPr="00EC7CBA">
        <w:rPr>
          <w:rFonts w:cstheme="minorHAnsi"/>
          <w:b/>
          <w:bCs/>
          <w:u w:val="single"/>
        </w:rPr>
        <w:t>L</w:t>
      </w:r>
      <w:r w:rsidRPr="00EC7CBA">
        <w:rPr>
          <w:rFonts w:cstheme="minorHAnsi"/>
          <w:b/>
          <w:bCs/>
          <w:u w:val="single"/>
        </w:rPr>
        <w:t>eave</w:t>
      </w:r>
      <w:r w:rsidR="00EC7CBA">
        <w:rPr>
          <w:rFonts w:cstheme="minorHAnsi"/>
          <w:b/>
          <w:bCs/>
          <w:u w:val="single"/>
        </w:rPr>
        <w:t xml:space="preserve"> of Absence</w:t>
      </w:r>
    </w:p>
    <w:p w14:paraId="49C640BC" w14:textId="36E1D57C" w:rsidR="00EC7CBA" w:rsidRPr="00EC7CBA" w:rsidRDefault="00EC7CBA" w:rsidP="007E2C65">
      <w:pPr>
        <w:spacing w:after="0" w:line="240" w:lineRule="auto"/>
        <w:jc w:val="center"/>
        <w:rPr>
          <w:rFonts w:cstheme="minorHAnsi"/>
          <w:b/>
          <w:bCs/>
          <w:u w:val="single"/>
        </w:rPr>
      </w:pPr>
      <w:r w:rsidRPr="00EC7CBA">
        <w:rPr>
          <w:rFonts w:cstheme="minorHAnsi"/>
          <w:b/>
          <w:bCs/>
          <w:u w:val="single"/>
        </w:rPr>
        <w:t>Staff Guide</w:t>
      </w:r>
    </w:p>
    <w:p w14:paraId="4211F47C" w14:textId="3DFA259F" w:rsidR="000A0908" w:rsidRDefault="000A0908" w:rsidP="000A0908">
      <w:pPr>
        <w:spacing w:after="0" w:line="240" w:lineRule="auto"/>
      </w:pPr>
    </w:p>
    <w:p w14:paraId="408208F3" w14:textId="3060BE29" w:rsidR="005F001F" w:rsidRPr="008E1726" w:rsidRDefault="005F001F" w:rsidP="002D6E91">
      <w:pPr>
        <w:spacing w:after="0" w:line="240" w:lineRule="auto"/>
        <w:jc w:val="both"/>
        <w:rPr>
          <w:b/>
          <w:bCs/>
          <w:u w:val="single"/>
        </w:rPr>
      </w:pPr>
      <w:r w:rsidRPr="008E1726">
        <w:rPr>
          <w:b/>
          <w:bCs/>
          <w:u w:val="single"/>
        </w:rPr>
        <w:t>Background</w:t>
      </w:r>
    </w:p>
    <w:p w14:paraId="67B68799" w14:textId="77777777" w:rsidR="005F001F" w:rsidRDefault="005F001F" w:rsidP="002D6E91">
      <w:pPr>
        <w:spacing w:after="0" w:line="240" w:lineRule="auto"/>
        <w:jc w:val="both"/>
      </w:pPr>
    </w:p>
    <w:p w14:paraId="2C2D0226" w14:textId="29BF78EA" w:rsidR="000A0908" w:rsidRDefault="000A0908" w:rsidP="002D6E91">
      <w:pPr>
        <w:spacing w:after="0" w:line="240" w:lineRule="auto"/>
        <w:jc w:val="both"/>
      </w:pPr>
      <w:r w:rsidRPr="000A0908">
        <w:t xml:space="preserve">The </w:t>
      </w:r>
      <w:r w:rsidRPr="00DF79A8">
        <w:t>Fitness to Study Procedure</w:t>
      </w:r>
      <w:r w:rsidRPr="000A0908">
        <w:t xml:space="preserve"> is governed by Resolution No. 673 of the University Court.</w:t>
      </w:r>
    </w:p>
    <w:p w14:paraId="37296FAE" w14:textId="4BAE2500" w:rsidR="00DF79A8" w:rsidRDefault="00DF79A8" w:rsidP="002D6E91">
      <w:pPr>
        <w:spacing w:after="0" w:line="240" w:lineRule="auto"/>
        <w:jc w:val="both"/>
      </w:pPr>
    </w:p>
    <w:p w14:paraId="1EBA4845" w14:textId="55F9E392" w:rsidR="005F001F" w:rsidRDefault="00DF79A8" w:rsidP="002D6E91">
      <w:pPr>
        <w:spacing w:after="0" w:line="240" w:lineRule="auto"/>
        <w:jc w:val="both"/>
      </w:pPr>
      <w:r>
        <w:t>Staff should refer to the</w:t>
      </w:r>
      <w:r w:rsidR="00C35C2C">
        <w:t xml:space="preserve"> </w:t>
      </w:r>
      <w:hyperlink r:id="rId5" w:history="1">
        <w:r w:rsidR="00C35C2C" w:rsidRPr="00C35C2C">
          <w:rPr>
            <w:rStyle w:val="Hyperlink"/>
          </w:rPr>
          <w:t>University Regulations</w:t>
        </w:r>
      </w:hyperlink>
      <w:r>
        <w:t xml:space="preserve"> (</w:t>
      </w:r>
      <w:r w:rsidRPr="005F001F">
        <w:rPr>
          <w:rFonts w:cstheme="minorHAnsi"/>
          <w:shd w:val="clear" w:color="auto" w:fill="FFFFFF"/>
        </w:rPr>
        <w:t>see §34.</w:t>
      </w:r>
      <w:r>
        <w:rPr>
          <w:rFonts w:cstheme="minorHAnsi"/>
          <w:shd w:val="clear" w:color="auto" w:fill="FFFFFF"/>
        </w:rPr>
        <w:t>3</w:t>
      </w:r>
      <w:r w:rsidRPr="005F001F">
        <w:rPr>
          <w:rFonts w:cstheme="minorHAnsi"/>
          <w:shd w:val="clear" w:color="auto" w:fill="FFFFFF"/>
        </w:rPr>
        <w:t>.</w:t>
      </w:r>
      <w:r>
        <w:rPr>
          <w:rFonts w:cstheme="minorHAnsi"/>
          <w:shd w:val="clear" w:color="auto" w:fill="FFFFFF"/>
        </w:rPr>
        <w:t>4</w:t>
      </w:r>
      <w:r w:rsidRPr="005F001F">
        <w:rPr>
          <w:rFonts w:cstheme="minorHAnsi"/>
          <w:shd w:val="clear" w:color="auto" w:fill="FFFFFF"/>
        </w:rPr>
        <w:t xml:space="preserve"> – §34.</w:t>
      </w:r>
      <w:r>
        <w:rPr>
          <w:rFonts w:cstheme="minorHAnsi"/>
          <w:shd w:val="clear" w:color="auto" w:fill="FFFFFF"/>
        </w:rPr>
        <w:t>3</w:t>
      </w:r>
      <w:r w:rsidRPr="005F001F">
        <w:rPr>
          <w:rFonts w:cstheme="minorHAnsi"/>
          <w:shd w:val="clear" w:color="auto" w:fill="FFFFFF"/>
        </w:rPr>
        <w:t>.</w:t>
      </w:r>
      <w:r>
        <w:rPr>
          <w:rFonts w:cstheme="minorHAnsi"/>
          <w:shd w:val="clear" w:color="auto" w:fill="FFFFFF"/>
        </w:rPr>
        <w:t>6)</w:t>
      </w:r>
      <w:r>
        <w:t xml:space="preserve"> for full details of how a Leave of Absence should be applied.</w:t>
      </w:r>
    </w:p>
    <w:p w14:paraId="3CBB951F" w14:textId="035496BD" w:rsidR="00DF79A8" w:rsidRDefault="00DF79A8" w:rsidP="002D6E91">
      <w:pPr>
        <w:spacing w:after="0" w:line="240" w:lineRule="auto"/>
        <w:jc w:val="both"/>
      </w:pPr>
    </w:p>
    <w:p w14:paraId="4452E0D1" w14:textId="77777777" w:rsidR="00DF79A8" w:rsidRPr="008E1726" w:rsidRDefault="00DF79A8" w:rsidP="002D6E91">
      <w:pPr>
        <w:spacing w:after="0" w:line="240" w:lineRule="auto"/>
        <w:jc w:val="both"/>
        <w:rPr>
          <w:rFonts w:cstheme="minorHAnsi"/>
          <w:b/>
          <w:bCs/>
          <w:u w:val="single"/>
        </w:rPr>
      </w:pPr>
      <w:r w:rsidRPr="008E1726">
        <w:rPr>
          <w:rFonts w:cstheme="minorHAnsi"/>
          <w:b/>
          <w:bCs/>
          <w:u w:val="single"/>
        </w:rPr>
        <w:t xml:space="preserve">Tuition fee </w:t>
      </w:r>
      <w:r>
        <w:rPr>
          <w:rFonts w:cstheme="minorHAnsi"/>
          <w:b/>
          <w:bCs/>
          <w:u w:val="single"/>
        </w:rPr>
        <w:t xml:space="preserve">and living cost </w:t>
      </w:r>
      <w:r w:rsidRPr="008E1726">
        <w:rPr>
          <w:rFonts w:cstheme="minorHAnsi"/>
          <w:b/>
          <w:bCs/>
          <w:u w:val="single"/>
        </w:rPr>
        <w:t>implications for students</w:t>
      </w:r>
    </w:p>
    <w:p w14:paraId="16EE056D" w14:textId="77777777" w:rsidR="00DF79A8" w:rsidRDefault="00DF79A8" w:rsidP="002D6E91">
      <w:pPr>
        <w:pStyle w:val="NormalWeb"/>
        <w:shd w:val="clear" w:color="auto" w:fill="FFFFFF"/>
        <w:spacing w:before="0" w:beforeAutospacing="0" w:after="0" w:afterAutospacing="0"/>
        <w:jc w:val="both"/>
        <w:rPr>
          <w:rFonts w:asciiTheme="minorHAnsi" w:hAnsiTheme="minorHAnsi" w:cstheme="minorHAnsi"/>
          <w:sz w:val="22"/>
          <w:szCs w:val="22"/>
        </w:rPr>
      </w:pPr>
    </w:p>
    <w:p w14:paraId="1B150B82" w14:textId="2A619F3D" w:rsidR="000A0908" w:rsidRDefault="005F001F" w:rsidP="002D6E91">
      <w:pPr>
        <w:pStyle w:val="NormalWeb"/>
        <w:shd w:val="clear" w:color="auto" w:fill="FFFFFF"/>
        <w:spacing w:before="0" w:beforeAutospacing="0" w:after="0" w:afterAutospacing="0"/>
        <w:jc w:val="both"/>
        <w:rPr>
          <w:rFonts w:asciiTheme="minorHAnsi" w:hAnsiTheme="minorHAnsi" w:cstheme="minorHAnsi"/>
          <w:sz w:val="22"/>
          <w:szCs w:val="22"/>
        </w:rPr>
      </w:pPr>
      <w:r w:rsidRPr="005F001F">
        <w:rPr>
          <w:rFonts w:asciiTheme="minorHAnsi" w:hAnsiTheme="minorHAnsi" w:cstheme="minorHAnsi"/>
          <w:sz w:val="22"/>
          <w:szCs w:val="22"/>
        </w:rPr>
        <w:t xml:space="preserve">Staff should be aware that there may be financial and welfare implications to taking a Leave of Absence, and should direct the student to appropriate sources of advice in order that the student may make an informed decision (e.g. SRC Advice Centre, Student Services Enquiry Team, Registry and other services listed in </w:t>
      </w:r>
      <w:hyperlink r:id="rId6" w:anchor="34.3stage1-emergingconcerns,34.9appendix2" w:history="1">
        <w:r w:rsidRPr="005F001F">
          <w:rPr>
            <w:rStyle w:val="Hyperlink"/>
            <w:rFonts w:asciiTheme="minorHAnsi" w:hAnsiTheme="minorHAnsi" w:cstheme="minorHAnsi"/>
            <w:sz w:val="22"/>
            <w:szCs w:val="22"/>
          </w:rPr>
          <w:t>Appendix 2</w:t>
        </w:r>
      </w:hyperlink>
      <w:r w:rsidR="00A72621" w:rsidRPr="00A72621">
        <w:rPr>
          <w:rStyle w:val="Hyperlink"/>
          <w:rFonts w:asciiTheme="minorHAnsi" w:hAnsiTheme="minorHAnsi" w:cstheme="minorHAnsi"/>
          <w:color w:val="auto"/>
          <w:sz w:val="22"/>
          <w:szCs w:val="22"/>
        </w:rPr>
        <w:t>)</w:t>
      </w:r>
      <w:r w:rsidRPr="005F001F">
        <w:rPr>
          <w:rFonts w:asciiTheme="minorHAnsi" w:hAnsiTheme="minorHAnsi" w:cstheme="minorHAnsi"/>
          <w:sz w:val="22"/>
          <w:szCs w:val="22"/>
        </w:rPr>
        <w:t>.</w:t>
      </w:r>
      <w:r w:rsidR="00565E29">
        <w:rPr>
          <w:rFonts w:asciiTheme="minorHAnsi" w:hAnsiTheme="minorHAnsi" w:cstheme="minorHAnsi"/>
          <w:sz w:val="22"/>
          <w:szCs w:val="22"/>
        </w:rPr>
        <w:t xml:space="preserve">  These implications are highlighted in Table 1.</w:t>
      </w:r>
    </w:p>
    <w:p w14:paraId="23A7D56D" w14:textId="78B36C18" w:rsidR="00565E29" w:rsidRDefault="00565E29" w:rsidP="002D6E91">
      <w:pPr>
        <w:pStyle w:val="NormalWeb"/>
        <w:shd w:val="clear" w:color="auto" w:fill="FFFFFF"/>
        <w:spacing w:before="0" w:beforeAutospacing="0" w:after="0" w:afterAutospacing="0"/>
        <w:jc w:val="both"/>
        <w:rPr>
          <w:rFonts w:asciiTheme="minorHAnsi" w:hAnsiTheme="minorHAnsi" w:cstheme="minorHAnsi"/>
          <w:sz w:val="22"/>
          <w:szCs w:val="22"/>
        </w:rPr>
      </w:pPr>
    </w:p>
    <w:p w14:paraId="1646C916" w14:textId="632FC72B" w:rsidR="00565E29" w:rsidRPr="00565E29" w:rsidRDefault="00565E29" w:rsidP="002D6E91">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565E29">
        <w:rPr>
          <w:rFonts w:asciiTheme="minorHAnsi" w:hAnsiTheme="minorHAnsi" w:cstheme="minorHAnsi"/>
          <w:sz w:val="22"/>
          <w:szCs w:val="22"/>
          <w:u w:val="single"/>
        </w:rPr>
        <w:t>Table 1:</w:t>
      </w:r>
    </w:p>
    <w:p w14:paraId="40CD5E70" w14:textId="77777777" w:rsidR="00DF79A8" w:rsidRDefault="00DF79A8" w:rsidP="00DF79A8">
      <w:pPr>
        <w:spacing w:after="0" w:line="240" w:lineRule="auto"/>
        <w:rPr>
          <w:rFonts w:cstheme="minorHAnsi"/>
        </w:rPr>
      </w:pPr>
    </w:p>
    <w:tbl>
      <w:tblPr>
        <w:tblStyle w:val="TableGrid"/>
        <w:tblpPr w:leftFromText="180" w:rightFromText="180" w:vertAnchor="text" w:horzAnchor="margin" w:tblpXSpec="center" w:tblpY="180"/>
        <w:tblW w:w="11034" w:type="dxa"/>
        <w:tblLook w:val="04A0" w:firstRow="1" w:lastRow="0" w:firstColumn="1" w:lastColumn="0" w:noHBand="0" w:noVBand="1"/>
      </w:tblPr>
      <w:tblGrid>
        <w:gridCol w:w="2099"/>
        <w:gridCol w:w="2641"/>
        <w:gridCol w:w="2992"/>
        <w:gridCol w:w="1726"/>
        <w:gridCol w:w="1576"/>
      </w:tblGrid>
      <w:tr w:rsidR="00694DDD" w:rsidRPr="001A0DE7" w14:paraId="6AC55D01" w14:textId="77777777" w:rsidTr="00694DDD">
        <w:tc>
          <w:tcPr>
            <w:tcW w:w="2122" w:type="dxa"/>
            <w:shd w:val="pct10" w:color="auto" w:fill="auto"/>
          </w:tcPr>
          <w:p w14:paraId="21ACB2CD" w14:textId="77777777" w:rsidR="00DF79A8" w:rsidRPr="001A0DE7" w:rsidRDefault="00DF79A8" w:rsidP="005C4F88">
            <w:pPr>
              <w:rPr>
                <w:rFonts w:asciiTheme="minorHAnsi" w:hAnsiTheme="minorHAnsi"/>
              </w:rPr>
            </w:pPr>
          </w:p>
        </w:tc>
        <w:tc>
          <w:tcPr>
            <w:tcW w:w="2693" w:type="dxa"/>
            <w:shd w:val="pct10" w:color="auto" w:fill="auto"/>
          </w:tcPr>
          <w:p w14:paraId="79541A37" w14:textId="77777777" w:rsidR="00DF79A8" w:rsidRPr="001A0DE7" w:rsidRDefault="00DF79A8" w:rsidP="005C4F88">
            <w:pPr>
              <w:rPr>
                <w:rFonts w:asciiTheme="minorHAnsi" w:hAnsiTheme="minorHAnsi"/>
              </w:rPr>
            </w:pPr>
            <w:r>
              <w:rPr>
                <w:rFonts w:asciiTheme="minorHAnsi" w:hAnsiTheme="minorHAnsi"/>
              </w:rPr>
              <w:t>SAAS</w:t>
            </w:r>
            <w:r w:rsidRPr="001A0DE7">
              <w:rPr>
                <w:rFonts w:asciiTheme="minorHAnsi" w:hAnsiTheme="minorHAnsi"/>
              </w:rPr>
              <w:t xml:space="preserve"> </w:t>
            </w:r>
          </w:p>
        </w:tc>
        <w:tc>
          <w:tcPr>
            <w:tcW w:w="3040" w:type="dxa"/>
            <w:shd w:val="pct10" w:color="auto" w:fill="auto"/>
          </w:tcPr>
          <w:p w14:paraId="2A7EB594" w14:textId="77777777" w:rsidR="00DF79A8" w:rsidRPr="001A0DE7" w:rsidRDefault="00DF79A8" w:rsidP="005C4F88">
            <w:pPr>
              <w:rPr>
                <w:rFonts w:asciiTheme="minorHAnsi" w:hAnsiTheme="minorHAnsi"/>
              </w:rPr>
            </w:pPr>
            <w:r>
              <w:rPr>
                <w:rFonts w:asciiTheme="minorHAnsi" w:hAnsiTheme="minorHAnsi"/>
              </w:rPr>
              <w:t>RUK</w:t>
            </w:r>
          </w:p>
        </w:tc>
        <w:tc>
          <w:tcPr>
            <w:tcW w:w="1596" w:type="dxa"/>
            <w:shd w:val="pct10" w:color="auto" w:fill="auto"/>
          </w:tcPr>
          <w:p w14:paraId="5A08C382" w14:textId="717D7FB0" w:rsidR="00DF79A8" w:rsidRPr="0025101D" w:rsidRDefault="00DF79A8" w:rsidP="005C4F88">
            <w:pPr>
              <w:rPr>
                <w:rFonts w:asciiTheme="minorHAnsi" w:hAnsiTheme="minorHAnsi"/>
              </w:rPr>
            </w:pPr>
            <w:r>
              <w:rPr>
                <w:rFonts w:asciiTheme="minorHAnsi" w:hAnsiTheme="minorHAnsi"/>
              </w:rPr>
              <w:t>Self-funded</w:t>
            </w:r>
            <w:r w:rsidR="00E84044">
              <w:rPr>
                <w:rFonts w:asciiTheme="minorHAnsi" w:hAnsiTheme="minorHAnsi"/>
              </w:rPr>
              <w:t>/sponsored</w:t>
            </w:r>
          </w:p>
        </w:tc>
        <w:tc>
          <w:tcPr>
            <w:tcW w:w="1583" w:type="dxa"/>
            <w:shd w:val="pct10" w:color="auto" w:fill="auto"/>
          </w:tcPr>
          <w:p w14:paraId="1D413CC7" w14:textId="77777777" w:rsidR="00DF79A8" w:rsidRPr="001A0DE7" w:rsidRDefault="00DF79A8" w:rsidP="005C4F88">
            <w:pPr>
              <w:rPr>
                <w:rFonts w:asciiTheme="minorHAnsi" w:hAnsiTheme="minorHAnsi"/>
              </w:rPr>
            </w:pPr>
            <w:r>
              <w:rPr>
                <w:rFonts w:asciiTheme="minorHAnsi" w:hAnsiTheme="minorHAnsi"/>
              </w:rPr>
              <w:t>Split-funding</w:t>
            </w:r>
          </w:p>
        </w:tc>
      </w:tr>
      <w:tr w:rsidR="00694DDD" w:rsidRPr="001A0DE7" w14:paraId="45643677" w14:textId="77777777" w:rsidTr="00694DDD">
        <w:tc>
          <w:tcPr>
            <w:tcW w:w="2122" w:type="dxa"/>
          </w:tcPr>
          <w:p w14:paraId="308DF0D7" w14:textId="2BBED9CF" w:rsidR="00DF79A8" w:rsidRPr="001A0DE7" w:rsidRDefault="00DF79A8" w:rsidP="005C4F88">
            <w:pPr>
              <w:rPr>
                <w:rFonts w:asciiTheme="minorHAnsi" w:hAnsiTheme="minorHAnsi"/>
              </w:rPr>
            </w:pPr>
            <w:r>
              <w:rPr>
                <w:rFonts w:asciiTheme="minorHAnsi" w:hAnsiTheme="minorHAnsi"/>
              </w:rPr>
              <w:t>Tuition fee liability</w:t>
            </w:r>
            <w:r w:rsidR="00B53D97">
              <w:rPr>
                <w:rFonts w:asciiTheme="minorHAnsi" w:hAnsiTheme="minorHAnsi"/>
              </w:rPr>
              <w:t xml:space="preserve"> (UG and PGT)</w:t>
            </w:r>
          </w:p>
        </w:tc>
        <w:tc>
          <w:tcPr>
            <w:tcW w:w="2693" w:type="dxa"/>
          </w:tcPr>
          <w:p w14:paraId="347837E4" w14:textId="0709F9DF" w:rsidR="00694DDD" w:rsidRDefault="00694DDD" w:rsidP="005C4F88">
            <w:pPr>
              <w:rPr>
                <w:rFonts w:asciiTheme="minorHAnsi" w:hAnsiTheme="minorHAnsi"/>
              </w:rPr>
            </w:pPr>
            <w:r>
              <w:rPr>
                <w:rFonts w:asciiTheme="minorHAnsi" w:hAnsiTheme="minorHAnsi"/>
              </w:rPr>
              <w:t>Tuition charged</w:t>
            </w:r>
            <w:r w:rsidR="00E566C0">
              <w:rPr>
                <w:rFonts w:asciiTheme="minorHAnsi" w:hAnsiTheme="minorHAnsi"/>
              </w:rPr>
              <w:t xml:space="preserve"> is</w:t>
            </w:r>
            <w:r>
              <w:rPr>
                <w:rFonts w:asciiTheme="minorHAnsi" w:hAnsiTheme="minorHAnsi"/>
              </w:rPr>
              <w:t xml:space="preserve"> based on </w:t>
            </w:r>
            <w:r w:rsidR="009B5E0F">
              <w:rPr>
                <w:rFonts w:asciiTheme="minorHAnsi" w:hAnsiTheme="minorHAnsi"/>
              </w:rPr>
              <w:t xml:space="preserve">the  </w:t>
            </w:r>
            <w:r>
              <w:rPr>
                <w:rFonts w:asciiTheme="minorHAnsi" w:hAnsiTheme="minorHAnsi"/>
              </w:rPr>
              <w:t>date that LoA applied:</w:t>
            </w:r>
          </w:p>
          <w:p w14:paraId="6F0834DD" w14:textId="77777777" w:rsidR="00694DDD" w:rsidRDefault="00694DDD" w:rsidP="005C4F88">
            <w:pPr>
              <w:rPr>
                <w:rFonts w:asciiTheme="minorHAnsi" w:hAnsiTheme="minorHAnsi"/>
              </w:rPr>
            </w:pPr>
          </w:p>
          <w:p w14:paraId="505D3D26" w14:textId="38C2DCDA" w:rsidR="00DF79A8" w:rsidRDefault="00694DDD" w:rsidP="005C4F88">
            <w:pPr>
              <w:rPr>
                <w:rFonts w:asciiTheme="minorHAnsi" w:hAnsiTheme="minorHAnsi"/>
              </w:rPr>
            </w:pPr>
            <w:r>
              <w:rPr>
                <w:rFonts w:asciiTheme="minorHAnsi" w:hAnsiTheme="minorHAnsi"/>
              </w:rPr>
              <w:t>LoA</w:t>
            </w:r>
            <w:r w:rsidR="00DF79A8">
              <w:rPr>
                <w:rFonts w:asciiTheme="minorHAnsi" w:hAnsiTheme="minorHAnsi"/>
              </w:rPr>
              <w:t xml:space="preserve"> &lt; 1</w:t>
            </w:r>
            <w:r w:rsidR="00DF79A8" w:rsidRPr="00417248">
              <w:rPr>
                <w:rFonts w:asciiTheme="minorHAnsi" w:hAnsiTheme="minorHAnsi"/>
                <w:vertAlign w:val="superscript"/>
              </w:rPr>
              <w:t>st</w:t>
            </w:r>
            <w:r w:rsidR="00DF79A8">
              <w:rPr>
                <w:rFonts w:asciiTheme="minorHAnsi" w:hAnsiTheme="minorHAnsi"/>
              </w:rPr>
              <w:t xml:space="preserve"> Dec, no fee charged</w:t>
            </w:r>
          </w:p>
          <w:p w14:paraId="65FC0CA3" w14:textId="77777777" w:rsidR="00694DDD" w:rsidRDefault="00694DDD" w:rsidP="005C4F88">
            <w:pPr>
              <w:rPr>
                <w:rFonts w:asciiTheme="minorHAnsi" w:hAnsiTheme="minorHAnsi"/>
              </w:rPr>
            </w:pPr>
          </w:p>
          <w:p w14:paraId="23FFBADD" w14:textId="624BEB01" w:rsidR="00DF79A8" w:rsidRPr="001A0DE7" w:rsidRDefault="00694DDD" w:rsidP="005C4F88">
            <w:pPr>
              <w:rPr>
                <w:rFonts w:asciiTheme="minorHAnsi" w:hAnsiTheme="minorHAnsi"/>
              </w:rPr>
            </w:pPr>
            <w:r>
              <w:rPr>
                <w:rFonts w:asciiTheme="minorHAnsi" w:hAnsiTheme="minorHAnsi"/>
              </w:rPr>
              <w:t>LoA</w:t>
            </w:r>
            <w:r w:rsidR="00DF79A8">
              <w:rPr>
                <w:rFonts w:asciiTheme="minorHAnsi" w:hAnsiTheme="minorHAnsi"/>
              </w:rPr>
              <w:t xml:space="preserve"> &gt; 1</w:t>
            </w:r>
            <w:r w:rsidR="00DF79A8" w:rsidRPr="00417248">
              <w:rPr>
                <w:rFonts w:asciiTheme="minorHAnsi" w:hAnsiTheme="minorHAnsi"/>
                <w:vertAlign w:val="superscript"/>
              </w:rPr>
              <w:t>st</w:t>
            </w:r>
            <w:r w:rsidR="00DF79A8">
              <w:rPr>
                <w:rFonts w:asciiTheme="minorHAnsi" w:hAnsiTheme="minorHAnsi"/>
              </w:rPr>
              <w:t xml:space="preserve"> Dec, full fee charged and paid by SAAS.  Student to use +1 funding in the following year</w:t>
            </w:r>
          </w:p>
        </w:tc>
        <w:tc>
          <w:tcPr>
            <w:tcW w:w="3040" w:type="dxa"/>
          </w:tcPr>
          <w:p w14:paraId="04688E92" w14:textId="24C3881A" w:rsidR="00694DDD" w:rsidRPr="0029285B" w:rsidRDefault="0029285B" w:rsidP="0029285B">
            <w:pPr>
              <w:rPr>
                <w:rFonts w:asciiTheme="minorHAnsi" w:hAnsiTheme="minorHAnsi"/>
              </w:rPr>
            </w:pPr>
            <w:r>
              <w:rPr>
                <w:rFonts w:asciiTheme="minorHAnsi" w:hAnsiTheme="minorHAnsi"/>
              </w:rPr>
              <w:t>Tuition charged is based on the  date that LoA applied</w:t>
            </w:r>
            <w:r w:rsidR="008B76C4">
              <w:rPr>
                <w:rFonts w:asciiTheme="minorHAnsi" w:hAnsiTheme="minorHAnsi"/>
              </w:rPr>
              <w:t>,</w:t>
            </w:r>
            <w:r w:rsidR="00694DDD">
              <w:rPr>
                <w:rFonts w:asciiTheme="minorHAnsi" w:hAnsiTheme="minorHAnsi" w:cstheme="minorHAnsi"/>
              </w:rPr>
              <w:t xml:space="preserve"> and the SLC liability period:</w:t>
            </w:r>
          </w:p>
          <w:p w14:paraId="2FAA51BE" w14:textId="77777777" w:rsidR="00694DDD" w:rsidRDefault="00694DDD" w:rsidP="005C4F88">
            <w:pPr>
              <w:rPr>
                <w:rFonts w:asciiTheme="minorHAnsi" w:hAnsiTheme="minorHAnsi" w:cstheme="minorHAnsi"/>
              </w:rPr>
            </w:pPr>
          </w:p>
          <w:p w14:paraId="22E6885A" w14:textId="51206BAE" w:rsidR="00DF79A8" w:rsidRPr="002079A2" w:rsidRDefault="00694DDD" w:rsidP="005C4F88">
            <w:pPr>
              <w:rPr>
                <w:rFonts w:asciiTheme="minorHAnsi" w:hAnsiTheme="minorHAnsi" w:cstheme="minorHAnsi"/>
              </w:rPr>
            </w:pPr>
            <w:r>
              <w:rPr>
                <w:rFonts w:asciiTheme="minorHAnsi" w:hAnsiTheme="minorHAnsi" w:cstheme="minorHAnsi"/>
              </w:rPr>
              <w:t xml:space="preserve">LoA </w:t>
            </w:r>
            <w:r w:rsidR="00DF79A8" w:rsidRPr="002079A2">
              <w:rPr>
                <w:rFonts w:asciiTheme="minorHAnsi" w:hAnsiTheme="minorHAnsi" w:cstheme="minorHAnsi"/>
              </w:rPr>
              <w:t>&lt;</w:t>
            </w:r>
            <w:r>
              <w:rPr>
                <w:rFonts w:asciiTheme="minorHAnsi" w:hAnsiTheme="minorHAnsi" w:cstheme="minorHAnsi"/>
              </w:rPr>
              <w:t xml:space="preserve"> </w:t>
            </w:r>
            <w:r w:rsidR="00DF79A8" w:rsidRPr="002079A2">
              <w:rPr>
                <w:rFonts w:asciiTheme="minorHAnsi" w:hAnsiTheme="minorHAnsi" w:cstheme="minorHAnsi"/>
              </w:rPr>
              <w:t>Christmas</w:t>
            </w:r>
            <w:r>
              <w:rPr>
                <w:rFonts w:asciiTheme="minorHAnsi" w:hAnsiTheme="minorHAnsi" w:cstheme="minorHAnsi"/>
              </w:rPr>
              <w:t>, 25% charged</w:t>
            </w:r>
          </w:p>
          <w:p w14:paraId="59AA3F39" w14:textId="77777777" w:rsidR="00694DDD" w:rsidRDefault="00694DDD" w:rsidP="005C4F88">
            <w:pPr>
              <w:rPr>
                <w:rFonts w:asciiTheme="minorHAnsi" w:hAnsiTheme="minorHAnsi" w:cstheme="minorHAnsi"/>
              </w:rPr>
            </w:pPr>
          </w:p>
          <w:p w14:paraId="3A62EFB3" w14:textId="5350E7DC" w:rsidR="00694DDD" w:rsidRDefault="00694DDD" w:rsidP="005C4F88">
            <w:pPr>
              <w:rPr>
                <w:rFonts w:asciiTheme="minorHAnsi" w:hAnsiTheme="minorHAnsi" w:cstheme="minorHAnsi"/>
              </w:rPr>
            </w:pPr>
            <w:r>
              <w:rPr>
                <w:rFonts w:asciiTheme="minorHAnsi" w:hAnsiTheme="minorHAnsi" w:cstheme="minorHAnsi"/>
              </w:rPr>
              <w:t>LoA between January and Easter, 50% charged</w:t>
            </w:r>
          </w:p>
          <w:p w14:paraId="61DBD230" w14:textId="491B7186" w:rsidR="00694DDD" w:rsidRDefault="00694DDD" w:rsidP="005C4F88">
            <w:pPr>
              <w:rPr>
                <w:rFonts w:asciiTheme="minorHAnsi" w:hAnsiTheme="minorHAnsi" w:cstheme="minorHAnsi"/>
              </w:rPr>
            </w:pPr>
          </w:p>
          <w:p w14:paraId="6B0B0007" w14:textId="7012B1D8" w:rsidR="00DF79A8" w:rsidRPr="002079A2" w:rsidRDefault="00694DDD" w:rsidP="00694DDD">
            <w:pPr>
              <w:rPr>
                <w:rFonts w:asciiTheme="minorHAnsi" w:hAnsiTheme="minorHAnsi" w:cstheme="minorHAnsi"/>
              </w:rPr>
            </w:pPr>
            <w:r>
              <w:rPr>
                <w:rFonts w:asciiTheme="minorHAnsi" w:hAnsiTheme="minorHAnsi" w:cstheme="minorHAnsi"/>
              </w:rPr>
              <w:t xml:space="preserve">LoA &gt; Easter, </w:t>
            </w:r>
            <w:r w:rsidR="00DF79A8" w:rsidRPr="002079A2">
              <w:rPr>
                <w:rFonts w:asciiTheme="minorHAnsi" w:hAnsiTheme="minorHAnsi" w:cstheme="minorHAnsi"/>
              </w:rPr>
              <w:t xml:space="preserve">100% </w:t>
            </w:r>
            <w:r>
              <w:rPr>
                <w:rFonts w:asciiTheme="minorHAnsi" w:hAnsiTheme="minorHAnsi" w:cstheme="minorHAnsi"/>
              </w:rPr>
              <w:t>charged</w:t>
            </w:r>
          </w:p>
          <w:p w14:paraId="200D0EFF" w14:textId="77777777" w:rsidR="00DF79A8" w:rsidRPr="001A0DE7" w:rsidRDefault="00DF79A8" w:rsidP="005C4F88">
            <w:pPr>
              <w:rPr>
                <w:rFonts w:asciiTheme="minorHAnsi" w:hAnsiTheme="minorHAnsi"/>
              </w:rPr>
            </w:pPr>
            <w:r w:rsidRPr="001A0DE7">
              <w:rPr>
                <w:rFonts w:asciiTheme="minorHAnsi" w:hAnsiTheme="minorHAnsi"/>
              </w:rPr>
              <w:t xml:space="preserve"> </w:t>
            </w:r>
          </w:p>
        </w:tc>
        <w:tc>
          <w:tcPr>
            <w:tcW w:w="1596" w:type="dxa"/>
          </w:tcPr>
          <w:p w14:paraId="300514CB" w14:textId="4E050189" w:rsidR="00DF79A8" w:rsidRPr="002A40BF" w:rsidRDefault="00DF79A8" w:rsidP="005C4F88">
            <w:pPr>
              <w:rPr>
                <w:rFonts w:asciiTheme="minorHAnsi" w:hAnsiTheme="minorHAnsi" w:cstheme="minorHAnsi"/>
              </w:rPr>
            </w:pPr>
            <w:bookmarkStart w:id="0" w:name="_Hlk43194213"/>
            <w:r w:rsidRPr="002A40BF">
              <w:rPr>
                <w:rFonts w:asciiTheme="minorHAnsi" w:hAnsiTheme="minorHAnsi" w:cstheme="minorHAnsi"/>
              </w:rPr>
              <w:t>Full refund given for the term</w:t>
            </w:r>
            <w:r w:rsidR="00C7129B">
              <w:rPr>
                <w:rFonts w:asciiTheme="minorHAnsi" w:hAnsiTheme="minorHAnsi" w:cstheme="minorHAnsi"/>
              </w:rPr>
              <w:t xml:space="preserve"> (academic year)</w:t>
            </w:r>
            <w:r w:rsidRPr="002A40BF">
              <w:rPr>
                <w:rFonts w:asciiTheme="minorHAnsi" w:hAnsiTheme="minorHAnsi" w:cstheme="minorHAnsi"/>
              </w:rPr>
              <w:t xml:space="preserve"> in which </w:t>
            </w:r>
            <w:r w:rsidR="004F33D7" w:rsidRPr="002A40BF">
              <w:rPr>
                <w:rFonts w:asciiTheme="minorHAnsi" w:hAnsiTheme="minorHAnsi" w:cstheme="minorHAnsi"/>
              </w:rPr>
              <w:t>LoA</w:t>
            </w:r>
            <w:r w:rsidRPr="002A40BF">
              <w:rPr>
                <w:rFonts w:asciiTheme="minorHAnsi" w:hAnsiTheme="minorHAnsi" w:cstheme="minorHAnsi"/>
              </w:rPr>
              <w:t xml:space="preserve"> is applied</w:t>
            </w:r>
            <w:bookmarkEnd w:id="0"/>
          </w:p>
        </w:tc>
        <w:tc>
          <w:tcPr>
            <w:tcW w:w="1583" w:type="dxa"/>
          </w:tcPr>
          <w:p w14:paraId="4DFB8683" w14:textId="1BF2F381" w:rsidR="002A40BF" w:rsidRPr="002A40BF" w:rsidRDefault="002A40BF" w:rsidP="005C4F88">
            <w:pPr>
              <w:rPr>
                <w:rFonts w:asciiTheme="minorHAnsi" w:hAnsiTheme="minorHAnsi" w:cstheme="minorHAnsi"/>
              </w:rPr>
            </w:pPr>
            <w:r w:rsidRPr="002A40BF">
              <w:rPr>
                <w:rFonts w:asciiTheme="minorHAnsi" w:hAnsiTheme="minorHAnsi" w:cstheme="minorHAnsi"/>
              </w:rPr>
              <w:t>A fee waiver will be applied to the self-funding portion for SAAS</w:t>
            </w:r>
            <w:r w:rsidR="00E84044">
              <w:rPr>
                <w:rFonts w:asciiTheme="minorHAnsi" w:hAnsiTheme="minorHAnsi" w:cstheme="minorHAnsi"/>
              </w:rPr>
              <w:t>/Student Finance-</w:t>
            </w:r>
            <w:r w:rsidRPr="002A40BF">
              <w:rPr>
                <w:rFonts w:asciiTheme="minorHAnsi" w:hAnsiTheme="minorHAnsi" w:cstheme="minorHAnsi"/>
              </w:rPr>
              <w:t>funded students</w:t>
            </w:r>
          </w:p>
        </w:tc>
      </w:tr>
      <w:tr w:rsidR="00694DDD" w:rsidRPr="001A0DE7" w14:paraId="2A87EEBC" w14:textId="77777777" w:rsidTr="00694DDD">
        <w:tc>
          <w:tcPr>
            <w:tcW w:w="2122" w:type="dxa"/>
          </w:tcPr>
          <w:p w14:paraId="308A5C22" w14:textId="77777777" w:rsidR="00DF79A8" w:rsidRPr="001A0DE7" w:rsidRDefault="00DF79A8" w:rsidP="005C4F88">
            <w:pPr>
              <w:rPr>
                <w:rFonts w:asciiTheme="minorHAnsi" w:hAnsiTheme="minorHAnsi"/>
              </w:rPr>
            </w:pPr>
            <w:r>
              <w:rPr>
                <w:rFonts w:asciiTheme="minorHAnsi" w:hAnsiTheme="minorHAnsi"/>
              </w:rPr>
              <w:t>Maintenance loan eligibility from SLC (Scottish/RUK students)</w:t>
            </w:r>
          </w:p>
        </w:tc>
        <w:tc>
          <w:tcPr>
            <w:tcW w:w="2693" w:type="dxa"/>
          </w:tcPr>
          <w:p w14:paraId="46FD4337" w14:textId="77777777" w:rsidR="00DF79A8" w:rsidRPr="001A0DE7" w:rsidRDefault="00DF79A8" w:rsidP="005C4F88">
            <w:pPr>
              <w:rPr>
                <w:rFonts w:asciiTheme="minorHAnsi" w:hAnsiTheme="minorHAnsi"/>
              </w:rPr>
            </w:pPr>
            <w:r>
              <w:rPr>
                <w:rFonts w:asciiTheme="minorHAnsi" w:hAnsiTheme="minorHAnsi"/>
              </w:rPr>
              <w:sym w:font="Wingdings" w:char="F0FC"/>
            </w:r>
          </w:p>
        </w:tc>
        <w:tc>
          <w:tcPr>
            <w:tcW w:w="3040" w:type="dxa"/>
          </w:tcPr>
          <w:p w14:paraId="6AC4C37A" w14:textId="77777777" w:rsidR="00D4135A" w:rsidRDefault="00DF79A8" w:rsidP="005C4F88">
            <w:pPr>
              <w:rPr>
                <w:rFonts w:asciiTheme="minorHAnsi" w:hAnsiTheme="minorHAnsi"/>
              </w:rPr>
            </w:pPr>
            <w:r>
              <w:rPr>
                <w:rFonts w:asciiTheme="minorHAnsi" w:hAnsiTheme="minorHAnsi"/>
              </w:rPr>
              <w:t>Maintenance loan will be paid in line with the dat</w:t>
            </w:r>
            <w:r w:rsidR="00D4135A">
              <w:rPr>
                <w:rFonts w:asciiTheme="minorHAnsi" w:hAnsiTheme="minorHAnsi"/>
              </w:rPr>
              <w:t>e</w:t>
            </w:r>
            <w:r>
              <w:rPr>
                <w:rFonts w:asciiTheme="minorHAnsi" w:hAnsiTheme="minorHAnsi"/>
              </w:rPr>
              <w:t xml:space="preserve"> </w:t>
            </w:r>
            <w:r w:rsidR="004F33D7">
              <w:rPr>
                <w:rFonts w:asciiTheme="minorHAnsi" w:hAnsiTheme="minorHAnsi"/>
              </w:rPr>
              <w:t xml:space="preserve">of LoA.  </w:t>
            </w:r>
          </w:p>
          <w:p w14:paraId="2DCD9E6F" w14:textId="77777777" w:rsidR="00D4135A" w:rsidRDefault="00D4135A" w:rsidP="005C4F88">
            <w:pPr>
              <w:rPr>
                <w:rFonts w:asciiTheme="minorHAnsi" w:hAnsiTheme="minorHAnsi"/>
              </w:rPr>
            </w:pPr>
          </w:p>
          <w:p w14:paraId="4E58C9AB" w14:textId="77777777" w:rsidR="00DF79A8" w:rsidRDefault="004F33D7" w:rsidP="005C4F88">
            <w:pPr>
              <w:rPr>
                <w:rFonts w:asciiTheme="minorHAnsi" w:hAnsiTheme="minorHAnsi"/>
              </w:rPr>
            </w:pPr>
            <w:r>
              <w:rPr>
                <w:rFonts w:asciiTheme="minorHAnsi" w:hAnsiTheme="minorHAnsi"/>
              </w:rPr>
              <w:t>SLC will grant an additional 60 days funding for LoA’s which</w:t>
            </w:r>
            <w:r w:rsidR="00BF4532">
              <w:rPr>
                <w:rFonts w:asciiTheme="minorHAnsi" w:hAnsiTheme="minorHAnsi"/>
              </w:rPr>
              <w:t xml:space="preserve"> are</w:t>
            </w:r>
            <w:r>
              <w:rPr>
                <w:rFonts w:asciiTheme="minorHAnsi" w:hAnsiTheme="minorHAnsi"/>
              </w:rPr>
              <w:t xml:space="preserve"> granted on medical</w:t>
            </w:r>
            <w:r w:rsidR="008C6BB5">
              <w:rPr>
                <w:rFonts w:asciiTheme="minorHAnsi" w:hAnsiTheme="minorHAnsi"/>
              </w:rPr>
              <w:t>/health</w:t>
            </w:r>
            <w:r>
              <w:rPr>
                <w:rFonts w:asciiTheme="minorHAnsi" w:hAnsiTheme="minorHAnsi"/>
              </w:rPr>
              <w:t xml:space="preserve"> grounds</w:t>
            </w:r>
            <w:r w:rsidR="00CF42D0">
              <w:rPr>
                <w:rFonts w:asciiTheme="minorHAnsi" w:hAnsiTheme="minorHAnsi"/>
              </w:rPr>
              <w:t xml:space="preserve">.  </w:t>
            </w:r>
          </w:p>
          <w:p w14:paraId="34A41BE5" w14:textId="5B3D001B" w:rsidR="00CF42D0" w:rsidRDefault="00CF42D0" w:rsidP="005C4F88">
            <w:pPr>
              <w:rPr>
                <w:rFonts w:asciiTheme="minorHAnsi" w:hAnsiTheme="minorHAnsi"/>
              </w:rPr>
            </w:pPr>
          </w:p>
          <w:p w14:paraId="4E39F648" w14:textId="51D76A8F" w:rsidR="00CF42D0" w:rsidRDefault="00CF42D0" w:rsidP="005C4F88">
            <w:pPr>
              <w:rPr>
                <w:rFonts w:asciiTheme="minorHAnsi" w:hAnsiTheme="minorHAnsi"/>
              </w:rPr>
            </w:pPr>
            <w:r>
              <w:rPr>
                <w:rFonts w:asciiTheme="minorHAnsi" w:hAnsiTheme="minorHAnsi"/>
              </w:rPr>
              <w:t>RUK students may therefore be required to return overpayments to SLC</w:t>
            </w:r>
          </w:p>
          <w:p w14:paraId="7D087E07" w14:textId="3F3D7AFD" w:rsidR="00CF42D0" w:rsidRPr="001A0DE7" w:rsidRDefault="00CF42D0" w:rsidP="005C4F88">
            <w:pPr>
              <w:rPr>
                <w:rFonts w:asciiTheme="minorHAnsi" w:hAnsiTheme="minorHAnsi"/>
              </w:rPr>
            </w:pPr>
          </w:p>
        </w:tc>
        <w:tc>
          <w:tcPr>
            <w:tcW w:w="1596" w:type="dxa"/>
            <w:shd w:val="clear" w:color="auto" w:fill="D9D9D9" w:themeFill="background1" w:themeFillShade="D9"/>
          </w:tcPr>
          <w:p w14:paraId="49D7C5B5" w14:textId="77777777" w:rsidR="00DF79A8" w:rsidRPr="0025101D" w:rsidRDefault="00DF79A8" w:rsidP="005C4F88">
            <w:pPr>
              <w:rPr>
                <w:rFonts w:asciiTheme="minorHAnsi" w:hAnsiTheme="minorHAnsi"/>
              </w:rPr>
            </w:pPr>
          </w:p>
        </w:tc>
        <w:tc>
          <w:tcPr>
            <w:tcW w:w="1583" w:type="dxa"/>
            <w:shd w:val="clear" w:color="auto" w:fill="D9D9D9" w:themeFill="background1" w:themeFillShade="D9"/>
          </w:tcPr>
          <w:p w14:paraId="75C891A2" w14:textId="77777777" w:rsidR="00DF79A8" w:rsidRPr="001A0DE7" w:rsidRDefault="00DF79A8" w:rsidP="005C4F88">
            <w:pPr>
              <w:rPr>
                <w:rFonts w:asciiTheme="minorHAnsi" w:hAnsiTheme="minorHAnsi"/>
                <w:color w:val="343536"/>
                <w:shd w:val="clear" w:color="auto" w:fill="FFFFFF"/>
              </w:rPr>
            </w:pPr>
          </w:p>
        </w:tc>
      </w:tr>
      <w:tr w:rsidR="00DF79A8" w:rsidRPr="001A0DE7" w14:paraId="19E9F2A6" w14:textId="77777777" w:rsidTr="00694DDD">
        <w:tc>
          <w:tcPr>
            <w:tcW w:w="2122" w:type="dxa"/>
          </w:tcPr>
          <w:p w14:paraId="3BDE77F1" w14:textId="77777777" w:rsidR="00DF79A8" w:rsidRPr="001A0DE7" w:rsidRDefault="00DF79A8" w:rsidP="005C4F88">
            <w:pPr>
              <w:rPr>
                <w:rFonts w:asciiTheme="minorHAnsi" w:hAnsiTheme="minorHAnsi"/>
              </w:rPr>
            </w:pPr>
            <w:r w:rsidRPr="001A0DE7">
              <w:rPr>
                <w:rFonts w:asciiTheme="minorHAnsi" w:hAnsiTheme="minorHAnsi"/>
              </w:rPr>
              <w:t>Council tax</w:t>
            </w:r>
            <w:r>
              <w:rPr>
                <w:rFonts w:asciiTheme="minorHAnsi" w:hAnsiTheme="minorHAnsi"/>
              </w:rPr>
              <w:t xml:space="preserve"> exemption (if enrolled for 63 or more credits)</w:t>
            </w:r>
          </w:p>
        </w:tc>
        <w:tc>
          <w:tcPr>
            <w:tcW w:w="2693" w:type="dxa"/>
          </w:tcPr>
          <w:p w14:paraId="60AC23A1" w14:textId="77777777" w:rsidR="00DF79A8" w:rsidRPr="001A0DE7" w:rsidRDefault="00DF79A8" w:rsidP="005C4F88">
            <w:pPr>
              <w:rPr>
                <w:rFonts w:asciiTheme="minorHAnsi" w:hAnsiTheme="minorHAnsi"/>
              </w:rPr>
            </w:pPr>
            <w:r>
              <w:rPr>
                <w:rFonts w:asciiTheme="minorHAnsi" w:hAnsiTheme="minorHAnsi"/>
              </w:rPr>
              <w:sym w:font="Wingdings" w:char="F0FC"/>
            </w:r>
          </w:p>
        </w:tc>
        <w:tc>
          <w:tcPr>
            <w:tcW w:w="3040" w:type="dxa"/>
          </w:tcPr>
          <w:p w14:paraId="46DFB17A" w14:textId="77777777" w:rsidR="00DF79A8" w:rsidRPr="001A0DE7" w:rsidRDefault="00DF79A8" w:rsidP="005C4F88">
            <w:pPr>
              <w:rPr>
                <w:rFonts w:asciiTheme="minorHAnsi" w:hAnsiTheme="minorHAnsi"/>
              </w:rPr>
            </w:pPr>
            <w:r>
              <w:rPr>
                <w:rFonts w:asciiTheme="minorHAnsi" w:hAnsiTheme="minorHAnsi"/>
              </w:rPr>
              <w:sym w:font="Wingdings" w:char="F0FC"/>
            </w:r>
          </w:p>
        </w:tc>
        <w:tc>
          <w:tcPr>
            <w:tcW w:w="1596" w:type="dxa"/>
          </w:tcPr>
          <w:p w14:paraId="0EA874EF" w14:textId="77777777" w:rsidR="00DF79A8" w:rsidRPr="0025101D" w:rsidRDefault="00DF79A8" w:rsidP="005C4F88">
            <w:pPr>
              <w:rPr>
                <w:rFonts w:asciiTheme="minorHAnsi" w:hAnsiTheme="minorHAnsi"/>
                <w:color w:val="FF0000"/>
              </w:rPr>
            </w:pPr>
            <w:r>
              <w:rPr>
                <w:rFonts w:asciiTheme="minorHAnsi" w:hAnsiTheme="minorHAnsi"/>
              </w:rPr>
              <w:sym w:font="Wingdings" w:char="F0FC"/>
            </w:r>
          </w:p>
        </w:tc>
        <w:tc>
          <w:tcPr>
            <w:tcW w:w="1583" w:type="dxa"/>
          </w:tcPr>
          <w:p w14:paraId="6F9A9F9B" w14:textId="77777777" w:rsidR="00DF79A8" w:rsidRPr="001A0DE7" w:rsidRDefault="00DF79A8" w:rsidP="005C4F88">
            <w:pPr>
              <w:rPr>
                <w:rFonts w:asciiTheme="minorHAnsi" w:hAnsiTheme="minorHAnsi"/>
              </w:rPr>
            </w:pPr>
            <w:r>
              <w:rPr>
                <w:rFonts w:asciiTheme="minorHAnsi" w:hAnsiTheme="minorHAnsi"/>
              </w:rPr>
              <w:sym w:font="Wingdings" w:char="F0FC"/>
            </w:r>
          </w:p>
        </w:tc>
      </w:tr>
      <w:tr w:rsidR="00DF79A8" w:rsidRPr="001A0DE7" w14:paraId="44C1E988" w14:textId="77777777" w:rsidTr="00694DDD">
        <w:tc>
          <w:tcPr>
            <w:tcW w:w="2122" w:type="dxa"/>
          </w:tcPr>
          <w:p w14:paraId="3F0E8F2A" w14:textId="77777777" w:rsidR="00DF79A8" w:rsidRPr="001A0DE7" w:rsidRDefault="00DF79A8" w:rsidP="005C4F88">
            <w:pPr>
              <w:rPr>
                <w:rFonts w:asciiTheme="minorHAnsi" w:hAnsiTheme="minorHAnsi"/>
              </w:rPr>
            </w:pPr>
            <w:r w:rsidRPr="001A0DE7">
              <w:rPr>
                <w:rFonts w:asciiTheme="minorHAnsi" w:hAnsiTheme="minorHAnsi"/>
              </w:rPr>
              <w:t xml:space="preserve">Eligible for </w:t>
            </w:r>
            <w:r>
              <w:rPr>
                <w:rFonts w:asciiTheme="minorHAnsi" w:hAnsiTheme="minorHAnsi"/>
              </w:rPr>
              <w:t xml:space="preserve">University </w:t>
            </w:r>
            <w:r w:rsidRPr="001A0DE7">
              <w:rPr>
                <w:rFonts w:asciiTheme="minorHAnsi" w:hAnsiTheme="minorHAnsi"/>
              </w:rPr>
              <w:t>discretionary funds</w:t>
            </w:r>
          </w:p>
        </w:tc>
        <w:tc>
          <w:tcPr>
            <w:tcW w:w="2693" w:type="dxa"/>
          </w:tcPr>
          <w:p w14:paraId="2C971553" w14:textId="77777777" w:rsidR="00DF79A8" w:rsidRPr="001A0DE7" w:rsidRDefault="00DF79A8" w:rsidP="005C4F88">
            <w:pPr>
              <w:rPr>
                <w:rFonts w:asciiTheme="minorHAnsi" w:hAnsiTheme="minorHAnsi"/>
              </w:rPr>
            </w:pPr>
            <w:r>
              <w:rPr>
                <w:rFonts w:asciiTheme="minorHAnsi" w:hAnsiTheme="minorHAnsi"/>
              </w:rPr>
              <w:t>X</w:t>
            </w:r>
          </w:p>
        </w:tc>
        <w:tc>
          <w:tcPr>
            <w:tcW w:w="3040" w:type="dxa"/>
          </w:tcPr>
          <w:p w14:paraId="3B19ED8A" w14:textId="77777777" w:rsidR="00DF79A8" w:rsidRPr="001A0DE7" w:rsidRDefault="00DF79A8" w:rsidP="005C4F88">
            <w:pPr>
              <w:rPr>
                <w:rFonts w:asciiTheme="minorHAnsi" w:hAnsiTheme="minorHAnsi"/>
              </w:rPr>
            </w:pPr>
            <w:r>
              <w:rPr>
                <w:rFonts w:asciiTheme="minorHAnsi" w:hAnsiTheme="minorHAnsi"/>
              </w:rPr>
              <w:t>X</w:t>
            </w:r>
          </w:p>
        </w:tc>
        <w:tc>
          <w:tcPr>
            <w:tcW w:w="1596" w:type="dxa"/>
          </w:tcPr>
          <w:p w14:paraId="6CBA9F8C" w14:textId="77777777" w:rsidR="00DF79A8" w:rsidRPr="0025101D" w:rsidRDefault="00DF79A8" w:rsidP="005C4F88">
            <w:pPr>
              <w:rPr>
                <w:rFonts w:asciiTheme="minorHAnsi" w:hAnsiTheme="minorHAnsi"/>
                <w:color w:val="FF0000"/>
              </w:rPr>
            </w:pPr>
            <w:r>
              <w:rPr>
                <w:rFonts w:asciiTheme="minorHAnsi" w:hAnsiTheme="minorHAnsi"/>
              </w:rPr>
              <w:t>X</w:t>
            </w:r>
          </w:p>
        </w:tc>
        <w:tc>
          <w:tcPr>
            <w:tcW w:w="1583" w:type="dxa"/>
          </w:tcPr>
          <w:p w14:paraId="4E87A496" w14:textId="77777777" w:rsidR="00DF79A8" w:rsidRPr="001A0DE7" w:rsidRDefault="00DF79A8" w:rsidP="005C4F88">
            <w:pPr>
              <w:rPr>
                <w:rFonts w:asciiTheme="minorHAnsi" w:hAnsiTheme="minorHAnsi"/>
              </w:rPr>
            </w:pPr>
            <w:r>
              <w:rPr>
                <w:rFonts w:asciiTheme="minorHAnsi" w:hAnsiTheme="minorHAnsi"/>
              </w:rPr>
              <w:t>X</w:t>
            </w:r>
          </w:p>
        </w:tc>
      </w:tr>
      <w:tr w:rsidR="00DF79A8" w:rsidRPr="001A0DE7" w14:paraId="10FCCB05" w14:textId="77777777" w:rsidTr="00694DDD">
        <w:tc>
          <w:tcPr>
            <w:tcW w:w="2122" w:type="dxa"/>
          </w:tcPr>
          <w:p w14:paraId="5E28D47B" w14:textId="77777777" w:rsidR="00DF79A8" w:rsidRPr="001A0DE7" w:rsidRDefault="00DF79A8" w:rsidP="005C4F88">
            <w:pPr>
              <w:rPr>
                <w:rFonts w:asciiTheme="minorHAnsi" w:hAnsiTheme="minorHAnsi"/>
              </w:rPr>
            </w:pPr>
            <w:r w:rsidRPr="001A0DE7">
              <w:rPr>
                <w:rFonts w:asciiTheme="minorHAnsi" w:hAnsiTheme="minorHAnsi"/>
              </w:rPr>
              <w:t xml:space="preserve">Eligible for </w:t>
            </w:r>
            <w:r>
              <w:rPr>
                <w:rFonts w:asciiTheme="minorHAnsi" w:hAnsiTheme="minorHAnsi"/>
              </w:rPr>
              <w:t>University Hardship fund</w:t>
            </w:r>
          </w:p>
        </w:tc>
        <w:tc>
          <w:tcPr>
            <w:tcW w:w="2693" w:type="dxa"/>
          </w:tcPr>
          <w:p w14:paraId="5F6C56DC" w14:textId="77777777" w:rsidR="00DF79A8" w:rsidRPr="001A0DE7" w:rsidRDefault="00DF79A8" w:rsidP="005C4F88">
            <w:pPr>
              <w:rPr>
                <w:rFonts w:asciiTheme="minorHAnsi" w:hAnsiTheme="minorHAnsi"/>
              </w:rPr>
            </w:pPr>
            <w:r>
              <w:rPr>
                <w:rFonts w:asciiTheme="minorHAnsi" w:hAnsiTheme="minorHAnsi"/>
              </w:rPr>
              <w:t>X</w:t>
            </w:r>
          </w:p>
        </w:tc>
        <w:tc>
          <w:tcPr>
            <w:tcW w:w="3040" w:type="dxa"/>
          </w:tcPr>
          <w:p w14:paraId="5A4D3081" w14:textId="77777777" w:rsidR="00DF79A8" w:rsidRPr="001A0DE7" w:rsidRDefault="00DF79A8" w:rsidP="005C4F88">
            <w:pPr>
              <w:rPr>
                <w:rFonts w:asciiTheme="minorHAnsi" w:hAnsiTheme="minorHAnsi"/>
              </w:rPr>
            </w:pPr>
            <w:r>
              <w:rPr>
                <w:rFonts w:asciiTheme="minorHAnsi" w:hAnsiTheme="minorHAnsi"/>
              </w:rPr>
              <w:t>X</w:t>
            </w:r>
          </w:p>
        </w:tc>
        <w:tc>
          <w:tcPr>
            <w:tcW w:w="1596" w:type="dxa"/>
          </w:tcPr>
          <w:p w14:paraId="5E4AA4FF" w14:textId="77777777" w:rsidR="00DF79A8" w:rsidRPr="0025101D" w:rsidRDefault="00DF79A8" w:rsidP="005C4F88">
            <w:pPr>
              <w:rPr>
                <w:rFonts w:asciiTheme="minorHAnsi" w:hAnsiTheme="minorHAnsi"/>
                <w:color w:val="FF0000"/>
              </w:rPr>
            </w:pPr>
            <w:r>
              <w:rPr>
                <w:rFonts w:asciiTheme="minorHAnsi" w:hAnsiTheme="minorHAnsi"/>
              </w:rPr>
              <w:t>X</w:t>
            </w:r>
          </w:p>
        </w:tc>
        <w:tc>
          <w:tcPr>
            <w:tcW w:w="1583" w:type="dxa"/>
          </w:tcPr>
          <w:p w14:paraId="70A8A632" w14:textId="77777777" w:rsidR="00DF79A8" w:rsidRPr="001A0DE7" w:rsidRDefault="00DF79A8" w:rsidP="005C4F88">
            <w:pPr>
              <w:rPr>
                <w:rFonts w:asciiTheme="minorHAnsi" w:hAnsiTheme="minorHAnsi"/>
              </w:rPr>
            </w:pPr>
            <w:r>
              <w:rPr>
                <w:rFonts w:asciiTheme="minorHAnsi" w:hAnsiTheme="minorHAnsi"/>
              </w:rPr>
              <w:t>X</w:t>
            </w:r>
          </w:p>
        </w:tc>
      </w:tr>
    </w:tbl>
    <w:p w14:paraId="4D054639" w14:textId="16CEEDD2" w:rsidR="00DF79A8" w:rsidRDefault="00DF79A8" w:rsidP="00DF79A8">
      <w:pPr>
        <w:spacing w:after="0" w:line="240" w:lineRule="auto"/>
        <w:rPr>
          <w:rFonts w:cstheme="minorHAnsi"/>
        </w:rPr>
      </w:pPr>
    </w:p>
    <w:p w14:paraId="1B864BA9" w14:textId="0A1158FB" w:rsidR="00CF42D0" w:rsidRDefault="00CF42D0" w:rsidP="00DF79A8">
      <w:pPr>
        <w:spacing w:after="0" w:line="240" w:lineRule="auto"/>
        <w:rPr>
          <w:rFonts w:cstheme="minorHAnsi"/>
        </w:rPr>
      </w:pPr>
    </w:p>
    <w:p w14:paraId="568F4CB4" w14:textId="527E8615" w:rsidR="00CF42D0" w:rsidRDefault="00CF42D0" w:rsidP="00DF79A8">
      <w:pPr>
        <w:spacing w:after="0" w:line="240" w:lineRule="auto"/>
        <w:rPr>
          <w:rFonts w:cstheme="minorHAnsi"/>
        </w:rPr>
      </w:pPr>
    </w:p>
    <w:p w14:paraId="5AEAB4A9" w14:textId="792199D9" w:rsidR="00CF42D0" w:rsidRDefault="00CF42D0" w:rsidP="00DF79A8">
      <w:pPr>
        <w:spacing w:after="0" w:line="240" w:lineRule="auto"/>
        <w:rPr>
          <w:rFonts w:cstheme="minorHAnsi"/>
        </w:rPr>
      </w:pPr>
    </w:p>
    <w:p w14:paraId="58451490" w14:textId="6D32B239" w:rsidR="00DF79A8" w:rsidRDefault="00DF79A8" w:rsidP="00AC465A">
      <w:pPr>
        <w:spacing w:after="0" w:line="240" w:lineRule="auto"/>
        <w:rPr>
          <w:rFonts w:cstheme="minorHAnsi"/>
          <w:b/>
          <w:bCs/>
        </w:rPr>
      </w:pPr>
    </w:p>
    <w:p w14:paraId="65BA6BB9" w14:textId="39B63584" w:rsidR="007E2C65" w:rsidRPr="008E1726" w:rsidRDefault="007E2C65" w:rsidP="002D6E91">
      <w:pPr>
        <w:spacing w:after="0" w:line="240" w:lineRule="auto"/>
        <w:jc w:val="both"/>
        <w:rPr>
          <w:rFonts w:cstheme="minorHAnsi"/>
          <w:b/>
          <w:bCs/>
          <w:u w:val="single"/>
        </w:rPr>
      </w:pPr>
      <w:r w:rsidRPr="008E1726">
        <w:rPr>
          <w:rFonts w:cstheme="minorHAnsi"/>
          <w:b/>
          <w:bCs/>
          <w:u w:val="single"/>
        </w:rPr>
        <w:t>Process for approval and updating MyCampus</w:t>
      </w:r>
    </w:p>
    <w:p w14:paraId="3BC3781E" w14:textId="77777777" w:rsidR="00273871" w:rsidRPr="00273871" w:rsidRDefault="00273871" w:rsidP="002D6E91">
      <w:pPr>
        <w:spacing w:after="0" w:line="240" w:lineRule="auto"/>
        <w:jc w:val="both"/>
        <w:rPr>
          <w:rFonts w:cstheme="minorHAnsi"/>
          <w:b/>
          <w:bCs/>
        </w:rPr>
      </w:pPr>
    </w:p>
    <w:p w14:paraId="54E3DD8E" w14:textId="72ECBAEF" w:rsidR="00175013" w:rsidRDefault="00175013" w:rsidP="002D6E91">
      <w:pPr>
        <w:spacing w:after="0" w:line="240" w:lineRule="auto"/>
        <w:jc w:val="both"/>
        <w:rPr>
          <w:rFonts w:cstheme="minorHAnsi"/>
        </w:rPr>
      </w:pPr>
      <w:r w:rsidRPr="00273871">
        <w:rPr>
          <w:rFonts w:cstheme="minorHAnsi"/>
        </w:rPr>
        <w:t xml:space="preserve">Once </w:t>
      </w:r>
      <w:r w:rsidR="00C01E9F">
        <w:rPr>
          <w:rFonts w:cstheme="minorHAnsi"/>
        </w:rPr>
        <w:t>the</w:t>
      </w:r>
      <w:r w:rsidR="00E65F5F">
        <w:rPr>
          <w:rFonts w:cstheme="minorHAnsi"/>
        </w:rPr>
        <w:t xml:space="preserve"> School/RI </w:t>
      </w:r>
      <w:r w:rsidR="00063C5B">
        <w:rPr>
          <w:rFonts w:cstheme="minorHAnsi"/>
        </w:rPr>
        <w:t xml:space="preserve">agrees to recommend </w:t>
      </w:r>
      <w:r w:rsidR="00E65F5F">
        <w:rPr>
          <w:rFonts w:cstheme="minorHAnsi"/>
        </w:rPr>
        <w:t xml:space="preserve">the Leave of Absence </w:t>
      </w:r>
      <w:r w:rsidRPr="00273871">
        <w:rPr>
          <w:rFonts w:cstheme="minorHAnsi"/>
        </w:rPr>
        <w:t xml:space="preserve">and </w:t>
      </w:r>
      <w:r w:rsidR="005955FB" w:rsidRPr="00273871">
        <w:rPr>
          <w:rFonts w:cstheme="minorHAnsi"/>
        </w:rPr>
        <w:t xml:space="preserve">the </w:t>
      </w:r>
      <w:r w:rsidRPr="00273871">
        <w:rPr>
          <w:rFonts w:cstheme="minorHAnsi"/>
        </w:rPr>
        <w:t xml:space="preserve">student has been advised about </w:t>
      </w:r>
      <w:r w:rsidR="005A46C8">
        <w:rPr>
          <w:rFonts w:cstheme="minorHAnsi"/>
        </w:rPr>
        <w:t xml:space="preserve">the </w:t>
      </w:r>
      <w:r w:rsidRPr="00273871">
        <w:rPr>
          <w:rFonts w:cstheme="minorHAnsi"/>
        </w:rPr>
        <w:t>tuition f</w:t>
      </w:r>
      <w:r w:rsidR="005955FB" w:rsidRPr="00273871">
        <w:rPr>
          <w:rFonts w:cstheme="minorHAnsi"/>
        </w:rPr>
        <w:t>ee</w:t>
      </w:r>
      <w:r w:rsidR="005A46C8">
        <w:rPr>
          <w:rFonts w:cstheme="minorHAnsi"/>
        </w:rPr>
        <w:t xml:space="preserve"> and living cost implications</w:t>
      </w:r>
      <w:r w:rsidRPr="00273871">
        <w:rPr>
          <w:rFonts w:cstheme="minorHAnsi"/>
        </w:rPr>
        <w:t>, the following steps are carried out in MyCampus.</w:t>
      </w:r>
    </w:p>
    <w:p w14:paraId="44B77571" w14:textId="77777777" w:rsidR="00273871" w:rsidRPr="00273871" w:rsidRDefault="00273871" w:rsidP="002D6E91">
      <w:pPr>
        <w:spacing w:after="0" w:line="240" w:lineRule="auto"/>
        <w:jc w:val="both"/>
        <w:rPr>
          <w:rFonts w:cstheme="minorHAnsi"/>
        </w:rPr>
      </w:pPr>
    </w:p>
    <w:p w14:paraId="4D213642" w14:textId="2E4C300D" w:rsidR="005A4583" w:rsidRPr="00273871" w:rsidRDefault="00A10100" w:rsidP="002D6E91">
      <w:pPr>
        <w:pStyle w:val="ListParagraph"/>
        <w:numPr>
          <w:ilvl w:val="0"/>
          <w:numId w:val="1"/>
        </w:numPr>
        <w:spacing w:after="0" w:line="240" w:lineRule="auto"/>
        <w:jc w:val="both"/>
        <w:rPr>
          <w:rFonts w:cstheme="minorHAnsi"/>
        </w:rPr>
      </w:pPr>
      <w:r>
        <w:rPr>
          <w:rFonts w:cstheme="minorHAnsi"/>
        </w:rPr>
        <w:t xml:space="preserve">Once the School/RI have agreed the student should go on FTSL, they will need to complete the </w:t>
      </w:r>
      <w:r>
        <w:t xml:space="preserve">MyCampus Fitness to Study Leave Service Indicator request form in Ivanti. Registry will then </w:t>
      </w:r>
      <w:r w:rsidR="00063C5B">
        <w:rPr>
          <w:rFonts w:cstheme="minorHAnsi"/>
        </w:rPr>
        <w:t xml:space="preserve"> </w:t>
      </w:r>
      <w:r w:rsidR="00175013" w:rsidRPr="00273871">
        <w:rPr>
          <w:rFonts w:cstheme="minorHAnsi"/>
        </w:rPr>
        <w:t>add the Service Indicator (E07)</w:t>
      </w:r>
      <w:r w:rsidR="004C15AD">
        <w:rPr>
          <w:rFonts w:cstheme="minorHAnsi"/>
        </w:rPr>
        <w:t xml:space="preserve"> to MyCampus</w:t>
      </w:r>
      <w:r w:rsidR="00175013" w:rsidRPr="00273871">
        <w:rPr>
          <w:rFonts w:cstheme="minorHAnsi"/>
        </w:rPr>
        <w:t>.</w:t>
      </w:r>
      <w:r w:rsidR="002E4B2E">
        <w:rPr>
          <w:rFonts w:cstheme="minorHAnsi"/>
        </w:rPr>
        <w:t xml:space="preserve">  The s</w:t>
      </w:r>
      <w:r w:rsidR="00175013" w:rsidRPr="00273871">
        <w:rPr>
          <w:rFonts w:cstheme="minorHAnsi"/>
        </w:rPr>
        <w:t xml:space="preserve">tudent needs to be </w:t>
      </w:r>
      <w:r w:rsidR="000A379A">
        <w:rPr>
          <w:rFonts w:cstheme="minorHAnsi"/>
        </w:rPr>
        <w:t>A</w:t>
      </w:r>
      <w:r w:rsidR="00175013" w:rsidRPr="00273871">
        <w:rPr>
          <w:rFonts w:cstheme="minorHAnsi"/>
        </w:rPr>
        <w:t xml:space="preserve">ctive in the term </w:t>
      </w:r>
      <w:r w:rsidR="000A379A">
        <w:rPr>
          <w:rFonts w:cstheme="minorHAnsi"/>
        </w:rPr>
        <w:t xml:space="preserve">for which </w:t>
      </w:r>
      <w:r w:rsidR="00175013" w:rsidRPr="00273871">
        <w:rPr>
          <w:rFonts w:cstheme="minorHAnsi"/>
        </w:rPr>
        <w:t xml:space="preserve">the </w:t>
      </w:r>
      <w:r w:rsidR="000A379A">
        <w:rPr>
          <w:rFonts w:cstheme="minorHAnsi"/>
        </w:rPr>
        <w:t>L</w:t>
      </w:r>
      <w:r w:rsidR="005956AE">
        <w:rPr>
          <w:rFonts w:cstheme="minorHAnsi"/>
        </w:rPr>
        <w:t>eave</w:t>
      </w:r>
      <w:r w:rsidR="00175013" w:rsidRPr="00273871">
        <w:rPr>
          <w:rFonts w:cstheme="minorHAnsi"/>
        </w:rPr>
        <w:t xml:space="preserve"> </w:t>
      </w:r>
      <w:r w:rsidR="000A379A">
        <w:rPr>
          <w:rFonts w:cstheme="minorHAnsi"/>
        </w:rPr>
        <w:t xml:space="preserve">of Absence </w:t>
      </w:r>
      <w:r w:rsidR="00175013" w:rsidRPr="00273871">
        <w:rPr>
          <w:rFonts w:cstheme="minorHAnsi"/>
        </w:rPr>
        <w:t xml:space="preserve">is granted, and before the Service Indicator is added. </w:t>
      </w:r>
      <w:r w:rsidR="00464621">
        <w:rPr>
          <w:rFonts w:cstheme="minorHAnsi"/>
        </w:rPr>
        <w:t xml:space="preserve"> </w:t>
      </w:r>
      <w:r w:rsidR="00175013" w:rsidRPr="00273871">
        <w:rPr>
          <w:rFonts w:cstheme="minorHAnsi"/>
        </w:rPr>
        <w:t xml:space="preserve">If the record is not </w:t>
      </w:r>
      <w:r w:rsidR="004656A3">
        <w:rPr>
          <w:rFonts w:cstheme="minorHAnsi"/>
        </w:rPr>
        <w:t>A</w:t>
      </w:r>
      <w:r w:rsidR="00175013" w:rsidRPr="00273871">
        <w:rPr>
          <w:rFonts w:cstheme="minorHAnsi"/>
        </w:rPr>
        <w:t>ctive</w:t>
      </w:r>
      <w:r w:rsidR="004656A3">
        <w:rPr>
          <w:rFonts w:cstheme="minorHAnsi"/>
        </w:rPr>
        <w:t>,</w:t>
      </w:r>
      <w:r w:rsidR="00175013" w:rsidRPr="00273871">
        <w:rPr>
          <w:rFonts w:cstheme="minorHAnsi"/>
        </w:rPr>
        <w:t xml:space="preserve"> the </w:t>
      </w:r>
      <w:r w:rsidR="004656A3">
        <w:rPr>
          <w:rFonts w:cstheme="minorHAnsi"/>
        </w:rPr>
        <w:t>relevant S</w:t>
      </w:r>
      <w:r w:rsidR="00175013" w:rsidRPr="00273871">
        <w:rPr>
          <w:rFonts w:cstheme="minorHAnsi"/>
        </w:rPr>
        <w:t>chool</w:t>
      </w:r>
      <w:r w:rsidR="004656A3">
        <w:rPr>
          <w:rFonts w:cstheme="minorHAnsi"/>
        </w:rPr>
        <w:t>/RI</w:t>
      </w:r>
      <w:r w:rsidR="00175013" w:rsidRPr="00273871">
        <w:rPr>
          <w:rFonts w:cstheme="minorHAnsi"/>
        </w:rPr>
        <w:t xml:space="preserve"> need to progress</w:t>
      </w:r>
      <w:r w:rsidR="005955FB" w:rsidRPr="00273871">
        <w:rPr>
          <w:rFonts w:cstheme="minorHAnsi"/>
        </w:rPr>
        <w:t xml:space="preserve"> it</w:t>
      </w:r>
      <w:r w:rsidR="00175013" w:rsidRPr="00273871">
        <w:rPr>
          <w:rFonts w:cstheme="minorHAnsi"/>
        </w:rPr>
        <w:t>.</w:t>
      </w:r>
    </w:p>
    <w:p w14:paraId="0E2B6363" w14:textId="77777777" w:rsidR="005A4583" w:rsidRPr="00273871" w:rsidRDefault="005A4583" w:rsidP="002D6E91">
      <w:pPr>
        <w:pStyle w:val="ListParagraph"/>
        <w:spacing w:after="0" w:line="240" w:lineRule="auto"/>
        <w:jc w:val="both"/>
        <w:rPr>
          <w:rFonts w:cstheme="minorHAnsi"/>
        </w:rPr>
      </w:pPr>
    </w:p>
    <w:p w14:paraId="31908589" w14:textId="3D8AE597" w:rsidR="005A4583" w:rsidRPr="00273871" w:rsidRDefault="00175013" w:rsidP="002D6E91">
      <w:pPr>
        <w:pStyle w:val="ListParagraph"/>
        <w:numPr>
          <w:ilvl w:val="0"/>
          <w:numId w:val="1"/>
        </w:numPr>
        <w:spacing w:after="0" w:line="240" w:lineRule="auto"/>
        <w:jc w:val="both"/>
        <w:rPr>
          <w:rFonts w:cstheme="minorHAnsi"/>
        </w:rPr>
      </w:pPr>
      <w:r w:rsidRPr="00273871">
        <w:rPr>
          <w:rFonts w:cstheme="minorHAnsi"/>
        </w:rPr>
        <w:t>The student needs to fully register and enrol on relevant courses</w:t>
      </w:r>
      <w:r w:rsidR="005955FB" w:rsidRPr="00273871">
        <w:rPr>
          <w:rFonts w:cstheme="minorHAnsi"/>
        </w:rPr>
        <w:t xml:space="preserve"> (or </w:t>
      </w:r>
      <w:r w:rsidR="00F87949">
        <w:rPr>
          <w:rFonts w:cstheme="minorHAnsi"/>
        </w:rPr>
        <w:t>S</w:t>
      </w:r>
      <w:r w:rsidR="005955FB" w:rsidRPr="00273871">
        <w:rPr>
          <w:rFonts w:cstheme="minorHAnsi"/>
        </w:rPr>
        <w:t>chools</w:t>
      </w:r>
      <w:r w:rsidR="00F87949">
        <w:rPr>
          <w:rFonts w:cstheme="minorHAnsi"/>
        </w:rPr>
        <w:t>/RI</w:t>
      </w:r>
      <w:r w:rsidR="005955FB" w:rsidRPr="00273871">
        <w:rPr>
          <w:rFonts w:cstheme="minorHAnsi"/>
        </w:rPr>
        <w:t xml:space="preserve"> can </w:t>
      </w:r>
      <w:r w:rsidR="003270B3">
        <w:rPr>
          <w:rFonts w:cstheme="minorHAnsi"/>
        </w:rPr>
        <w:t xml:space="preserve">auto </w:t>
      </w:r>
      <w:r w:rsidR="005955FB" w:rsidRPr="00273871">
        <w:rPr>
          <w:rFonts w:cstheme="minorHAnsi"/>
        </w:rPr>
        <w:t>enrol them)</w:t>
      </w:r>
      <w:r w:rsidRPr="00273871">
        <w:rPr>
          <w:rFonts w:cstheme="minorHAnsi"/>
        </w:rPr>
        <w:t>.</w:t>
      </w:r>
    </w:p>
    <w:p w14:paraId="105FB7EF" w14:textId="77777777" w:rsidR="005A4583" w:rsidRPr="00273871" w:rsidRDefault="005A4583" w:rsidP="002D6E91">
      <w:pPr>
        <w:pStyle w:val="ListParagraph"/>
        <w:spacing w:after="0" w:line="240" w:lineRule="auto"/>
        <w:jc w:val="both"/>
        <w:rPr>
          <w:rFonts w:cstheme="minorHAnsi"/>
        </w:rPr>
      </w:pPr>
    </w:p>
    <w:p w14:paraId="431FF329" w14:textId="2C07118F" w:rsidR="005A4583" w:rsidRPr="00273871" w:rsidRDefault="005A4583" w:rsidP="002D6E91">
      <w:pPr>
        <w:pStyle w:val="ListParagraph"/>
        <w:numPr>
          <w:ilvl w:val="0"/>
          <w:numId w:val="1"/>
        </w:numPr>
        <w:spacing w:after="0" w:line="240" w:lineRule="auto"/>
        <w:jc w:val="both"/>
        <w:rPr>
          <w:rFonts w:cstheme="minorHAnsi"/>
        </w:rPr>
      </w:pPr>
      <w:r w:rsidRPr="00273871">
        <w:rPr>
          <w:rFonts w:cstheme="minorHAnsi"/>
        </w:rPr>
        <w:t xml:space="preserve">If </w:t>
      </w:r>
      <w:r w:rsidR="003218C6">
        <w:rPr>
          <w:rFonts w:cstheme="minorHAnsi"/>
        </w:rPr>
        <w:t>Leave of Absence</w:t>
      </w:r>
      <w:r w:rsidRPr="00273871">
        <w:rPr>
          <w:rFonts w:cstheme="minorHAnsi"/>
        </w:rPr>
        <w:t xml:space="preserve"> spans more than 1 </w:t>
      </w:r>
      <w:r w:rsidR="00011C7E">
        <w:rPr>
          <w:rFonts w:cstheme="minorHAnsi"/>
        </w:rPr>
        <w:t>academic session</w:t>
      </w:r>
      <w:r w:rsidRPr="00273871">
        <w:rPr>
          <w:rFonts w:cstheme="minorHAnsi"/>
        </w:rPr>
        <w:t xml:space="preserve">, the </w:t>
      </w:r>
      <w:r w:rsidR="009D6C8F">
        <w:rPr>
          <w:rFonts w:cstheme="minorHAnsi"/>
        </w:rPr>
        <w:t>S</w:t>
      </w:r>
      <w:r w:rsidRPr="00273871">
        <w:rPr>
          <w:rFonts w:cstheme="minorHAnsi"/>
        </w:rPr>
        <w:t>chool</w:t>
      </w:r>
      <w:r w:rsidR="009D6C8F">
        <w:rPr>
          <w:rFonts w:cstheme="minorHAnsi"/>
        </w:rPr>
        <w:t>/RI</w:t>
      </w:r>
      <w:r w:rsidRPr="00273871">
        <w:rPr>
          <w:rFonts w:cstheme="minorHAnsi"/>
        </w:rPr>
        <w:t xml:space="preserve"> need to manually progress the record, and the student needs to re-register and enrol.</w:t>
      </w:r>
    </w:p>
    <w:p w14:paraId="176D9F42" w14:textId="77777777" w:rsidR="005A4583" w:rsidRPr="00273871" w:rsidRDefault="005A4583" w:rsidP="002D6E91">
      <w:pPr>
        <w:pStyle w:val="ListParagraph"/>
        <w:spacing w:after="0" w:line="240" w:lineRule="auto"/>
        <w:jc w:val="both"/>
        <w:rPr>
          <w:rFonts w:cstheme="minorHAnsi"/>
        </w:rPr>
      </w:pPr>
    </w:p>
    <w:p w14:paraId="63836DC8" w14:textId="5F3DEB8F" w:rsidR="005A4583" w:rsidRPr="00273871" w:rsidRDefault="00EB1208" w:rsidP="002D6E91">
      <w:pPr>
        <w:pStyle w:val="ListParagraph"/>
        <w:numPr>
          <w:ilvl w:val="0"/>
          <w:numId w:val="1"/>
        </w:numPr>
        <w:spacing w:after="0" w:line="240" w:lineRule="auto"/>
        <w:jc w:val="both"/>
        <w:rPr>
          <w:rFonts w:cstheme="minorHAnsi"/>
        </w:rPr>
      </w:pPr>
      <w:r>
        <w:rPr>
          <w:rFonts w:cstheme="minorHAnsi"/>
        </w:rPr>
        <w:t xml:space="preserve">If appropriate, </w:t>
      </w:r>
      <w:r w:rsidR="005955FB" w:rsidRPr="00273871">
        <w:rPr>
          <w:rFonts w:cstheme="minorHAnsi"/>
        </w:rPr>
        <w:t>Registry add the override code (XFITNESS) and recalculate tuition fees to zero</w:t>
      </w:r>
      <w:r w:rsidR="0085365A" w:rsidRPr="00273871">
        <w:rPr>
          <w:rFonts w:cstheme="minorHAnsi"/>
        </w:rPr>
        <w:t xml:space="preserve"> in the term the FTSL starts</w:t>
      </w:r>
      <w:r>
        <w:rPr>
          <w:rFonts w:cstheme="minorHAnsi"/>
        </w:rPr>
        <w:t xml:space="preserve"> (please refer to Table 1 for details)</w:t>
      </w:r>
      <w:r w:rsidR="005955FB" w:rsidRPr="00273871">
        <w:rPr>
          <w:rFonts w:cstheme="minorHAnsi"/>
        </w:rPr>
        <w:t>.</w:t>
      </w:r>
    </w:p>
    <w:p w14:paraId="44178472" w14:textId="77777777" w:rsidR="005A4583" w:rsidRPr="00273871" w:rsidRDefault="005A4583" w:rsidP="002D6E91">
      <w:pPr>
        <w:pStyle w:val="ListParagraph"/>
        <w:spacing w:after="0" w:line="240" w:lineRule="auto"/>
        <w:jc w:val="both"/>
        <w:rPr>
          <w:rFonts w:cstheme="minorHAnsi"/>
        </w:rPr>
      </w:pPr>
    </w:p>
    <w:p w14:paraId="5540EDBE" w14:textId="0F21D62F" w:rsidR="005955FB" w:rsidRPr="00273871" w:rsidRDefault="00055F8F" w:rsidP="002D6E91">
      <w:pPr>
        <w:pStyle w:val="ListParagraph"/>
        <w:numPr>
          <w:ilvl w:val="0"/>
          <w:numId w:val="1"/>
        </w:numPr>
        <w:spacing w:after="0" w:line="240" w:lineRule="auto"/>
        <w:jc w:val="both"/>
        <w:rPr>
          <w:rFonts w:cstheme="minorHAnsi"/>
        </w:rPr>
      </w:pPr>
      <w:r>
        <w:rPr>
          <w:rFonts w:cstheme="minorHAnsi"/>
        </w:rPr>
        <w:t xml:space="preserve">The </w:t>
      </w:r>
      <w:r w:rsidR="005955FB" w:rsidRPr="00273871">
        <w:rPr>
          <w:rFonts w:cstheme="minorHAnsi"/>
        </w:rPr>
        <w:t>School</w:t>
      </w:r>
      <w:r>
        <w:rPr>
          <w:rFonts w:cstheme="minorHAnsi"/>
        </w:rPr>
        <w:t>/RI</w:t>
      </w:r>
      <w:r w:rsidR="005955FB" w:rsidRPr="00273871">
        <w:rPr>
          <w:rFonts w:cstheme="minorHAnsi"/>
        </w:rPr>
        <w:t xml:space="preserve"> should return result of MV for all enrolments</w:t>
      </w:r>
      <w:r w:rsidR="00F76189">
        <w:rPr>
          <w:rFonts w:cstheme="minorHAnsi"/>
        </w:rPr>
        <w:t xml:space="preserve"> if any tuition fees remain on the record</w:t>
      </w:r>
      <w:r w:rsidR="005955FB" w:rsidRPr="00273871">
        <w:rPr>
          <w:rFonts w:cstheme="minorHAnsi"/>
        </w:rPr>
        <w:t>.</w:t>
      </w:r>
    </w:p>
    <w:p w14:paraId="36ED742E" w14:textId="77777777" w:rsidR="00AD3848" w:rsidRPr="00273871" w:rsidRDefault="00AD3848" w:rsidP="002D6E91">
      <w:pPr>
        <w:pStyle w:val="ListParagraph"/>
        <w:spacing w:after="0" w:line="240" w:lineRule="auto"/>
        <w:jc w:val="both"/>
        <w:rPr>
          <w:rFonts w:cstheme="minorHAnsi"/>
        </w:rPr>
      </w:pPr>
    </w:p>
    <w:p w14:paraId="4E8EE09A" w14:textId="36E3F22A" w:rsidR="00AD3848" w:rsidRPr="00273871" w:rsidRDefault="00AD3848" w:rsidP="002D6E91">
      <w:pPr>
        <w:pStyle w:val="ListParagraph"/>
        <w:numPr>
          <w:ilvl w:val="0"/>
          <w:numId w:val="1"/>
        </w:numPr>
        <w:spacing w:after="0" w:line="240" w:lineRule="auto"/>
        <w:jc w:val="both"/>
        <w:rPr>
          <w:rFonts w:cstheme="minorHAnsi"/>
        </w:rPr>
      </w:pPr>
      <w:r w:rsidRPr="00273871">
        <w:rPr>
          <w:rFonts w:cstheme="minorHAnsi"/>
        </w:rPr>
        <w:t xml:space="preserve">If </w:t>
      </w:r>
      <w:r w:rsidR="0056769D">
        <w:rPr>
          <w:rFonts w:cstheme="minorHAnsi"/>
        </w:rPr>
        <w:t xml:space="preserve">the Leave of Absence </w:t>
      </w:r>
      <w:r w:rsidRPr="00273871">
        <w:rPr>
          <w:rFonts w:cstheme="minorHAnsi"/>
        </w:rPr>
        <w:t>last</w:t>
      </w:r>
      <w:r w:rsidR="005A4583" w:rsidRPr="00273871">
        <w:rPr>
          <w:rFonts w:cstheme="minorHAnsi"/>
        </w:rPr>
        <w:t>s</w:t>
      </w:r>
      <w:r w:rsidRPr="00273871">
        <w:rPr>
          <w:rFonts w:cstheme="minorHAnsi"/>
        </w:rPr>
        <w:t xml:space="preserve"> more than 60 days, any T</w:t>
      </w:r>
      <w:r w:rsidR="00791F12" w:rsidRPr="00273871">
        <w:rPr>
          <w:rFonts w:cstheme="minorHAnsi"/>
        </w:rPr>
        <w:t xml:space="preserve">ier </w:t>
      </w:r>
      <w:r w:rsidRPr="00273871">
        <w:rPr>
          <w:rFonts w:cstheme="minorHAnsi"/>
        </w:rPr>
        <w:t>4 student</w:t>
      </w:r>
      <w:r w:rsidR="008F5B2A" w:rsidRPr="00273871">
        <w:rPr>
          <w:rFonts w:cstheme="minorHAnsi"/>
        </w:rPr>
        <w:t>s</w:t>
      </w:r>
      <w:r w:rsidRPr="00273871">
        <w:rPr>
          <w:rFonts w:cstheme="minorHAnsi"/>
        </w:rPr>
        <w:t xml:space="preserve"> </w:t>
      </w:r>
      <w:r w:rsidR="0090042C">
        <w:rPr>
          <w:rFonts w:cstheme="minorHAnsi"/>
        </w:rPr>
        <w:t>w</w:t>
      </w:r>
      <w:r w:rsidR="008F5B2A" w:rsidRPr="00273871">
        <w:rPr>
          <w:rFonts w:cstheme="minorHAnsi"/>
        </w:rPr>
        <w:t>ould</w:t>
      </w:r>
      <w:r w:rsidRPr="00273871">
        <w:rPr>
          <w:rFonts w:cstheme="minorHAnsi"/>
        </w:rPr>
        <w:t xml:space="preserve"> </w:t>
      </w:r>
      <w:r w:rsidR="0090042C">
        <w:rPr>
          <w:rFonts w:cstheme="minorHAnsi"/>
        </w:rPr>
        <w:t xml:space="preserve">normally </w:t>
      </w:r>
      <w:r w:rsidRPr="00273871">
        <w:rPr>
          <w:rFonts w:cstheme="minorHAnsi"/>
        </w:rPr>
        <w:t xml:space="preserve">be </w:t>
      </w:r>
      <w:r w:rsidR="0090042C">
        <w:rPr>
          <w:rFonts w:cstheme="minorHAnsi"/>
        </w:rPr>
        <w:t xml:space="preserve">required </w:t>
      </w:r>
      <w:r w:rsidR="005A4583" w:rsidRPr="00273871">
        <w:rPr>
          <w:rFonts w:cstheme="minorHAnsi"/>
        </w:rPr>
        <w:t xml:space="preserve">to leave the </w:t>
      </w:r>
      <w:r w:rsidR="0090042C">
        <w:rPr>
          <w:rFonts w:cstheme="minorHAnsi"/>
        </w:rPr>
        <w:t>UK and apply for a new visa to return to their studies</w:t>
      </w:r>
      <w:r w:rsidR="005A4583" w:rsidRPr="00273871">
        <w:rPr>
          <w:rFonts w:cstheme="minorHAnsi"/>
        </w:rPr>
        <w:t>.</w:t>
      </w:r>
    </w:p>
    <w:p w14:paraId="5A4B5041" w14:textId="77777777" w:rsidR="006B7944" w:rsidRPr="00273871" w:rsidRDefault="006B7944" w:rsidP="002D6E91">
      <w:pPr>
        <w:pStyle w:val="ListParagraph"/>
        <w:spacing w:after="0" w:line="240" w:lineRule="auto"/>
        <w:jc w:val="both"/>
        <w:rPr>
          <w:rFonts w:cstheme="minorHAnsi"/>
        </w:rPr>
      </w:pPr>
    </w:p>
    <w:p w14:paraId="1652C56D" w14:textId="39CECFE8" w:rsidR="003118D2" w:rsidRDefault="006B7944" w:rsidP="002D6E91">
      <w:pPr>
        <w:pStyle w:val="ListParagraph"/>
        <w:numPr>
          <w:ilvl w:val="0"/>
          <w:numId w:val="1"/>
        </w:numPr>
        <w:spacing w:after="0" w:line="240" w:lineRule="auto"/>
        <w:jc w:val="both"/>
        <w:rPr>
          <w:rFonts w:cstheme="minorHAnsi"/>
        </w:rPr>
      </w:pPr>
      <w:r w:rsidRPr="00273871">
        <w:rPr>
          <w:rFonts w:cstheme="minorHAnsi"/>
        </w:rPr>
        <w:t>If a student decides to withdraw</w:t>
      </w:r>
      <w:r w:rsidR="00A942C9" w:rsidRPr="00273871">
        <w:rPr>
          <w:rFonts w:cstheme="minorHAnsi"/>
        </w:rPr>
        <w:t xml:space="preserve"> while on the</w:t>
      </w:r>
      <w:r w:rsidR="00C2654E">
        <w:rPr>
          <w:rFonts w:cstheme="minorHAnsi"/>
        </w:rPr>
        <w:t xml:space="preserve"> Leave of Absence</w:t>
      </w:r>
      <w:r w:rsidR="00A942C9" w:rsidRPr="00273871">
        <w:rPr>
          <w:rFonts w:cstheme="minorHAnsi"/>
        </w:rPr>
        <w:t xml:space="preserve">, </w:t>
      </w:r>
      <w:r w:rsidR="006A1206">
        <w:rPr>
          <w:rFonts w:cstheme="minorHAnsi"/>
        </w:rPr>
        <w:t>Registry will</w:t>
      </w:r>
      <w:r w:rsidR="00A942C9" w:rsidRPr="00273871">
        <w:rPr>
          <w:rFonts w:cstheme="minorHAnsi"/>
        </w:rPr>
        <w:t xml:space="preserve"> remove the service indicator</w:t>
      </w:r>
      <w:r w:rsidR="006A1206">
        <w:rPr>
          <w:rFonts w:cstheme="minorHAnsi"/>
        </w:rPr>
        <w:t xml:space="preserve"> </w:t>
      </w:r>
      <w:r w:rsidR="00A942C9" w:rsidRPr="00273871">
        <w:rPr>
          <w:rFonts w:cstheme="minorHAnsi"/>
        </w:rPr>
        <w:t>and override XFITNESS code</w:t>
      </w:r>
      <w:r w:rsidR="006A1206">
        <w:rPr>
          <w:rFonts w:cstheme="minorHAnsi"/>
        </w:rPr>
        <w:t xml:space="preserve"> (if applicable</w:t>
      </w:r>
      <w:r w:rsidR="00850EAA">
        <w:rPr>
          <w:rFonts w:cstheme="minorHAnsi"/>
        </w:rPr>
        <w:t>) and</w:t>
      </w:r>
      <w:r w:rsidR="00A942C9" w:rsidRPr="00273871">
        <w:rPr>
          <w:rFonts w:cstheme="minorHAnsi"/>
        </w:rPr>
        <w:t xml:space="preserve"> process the withdrawal in the normal way.</w:t>
      </w:r>
      <w:r w:rsidR="00452F40">
        <w:rPr>
          <w:rFonts w:cstheme="minorHAnsi"/>
        </w:rPr>
        <w:t xml:space="preserve">  </w:t>
      </w:r>
      <w:r w:rsidR="00A942C9" w:rsidRPr="00273871">
        <w:rPr>
          <w:rFonts w:cstheme="minorHAnsi"/>
        </w:rPr>
        <w:t>If this then results in fees being charged on the system, Registry can apply other override codes to cancel fees – if agreed.</w:t>
      </w:r>
    </w:p>
    <w:p w14:paraId="006CAB16" w14:textId="77777777" w:rsidR="003118D2" w:rsidRPr="003118D2" w:rsidRDefault="003118D2" w:rsidP="002D6E91">
      <w:pPr>
        <w:pStyle w:val="ListParagraph"/>
        <w:jc w:val="both"/>
        <w:rPr>
          <w:rFonts w:cstheme="minorHAnsi"/>
        </w:rPr>
      </w:pPr>
    </w:p>
    <w:p w14:paraId="63EC1F37" w14:textId="30F54379" w:rsidR="00782B7C" w:rsidRDefault="00782B7C" w:rsidP="002D6E91">
      <w:pPr>
        <w:pStyle w:val="ListParagraph"/>
        <w:numPr>
          <w:ilvl w:val="0"/>
          <w:numId w:val="1"/>
        </w:numPr>
        <w:spacing w:after="0" w:line="240" w:lineRule="auto"/>
        <w:jc w:val="both"/>
        <w:rPr>
          <w:rFonts w:cstheme="minorHAnsi"/>
        </w:rPr>
      </w:pPr>
      <w:r w:rsidRPr="003118D2">
        <w:rPr>
          <w:rFonts w:cstheme="minorHAnsi"/>
        </w:rPr>
        <w:t xml:space="preserve">Where a </w:t>
      </w:r>
      <w:r w:rsidR="009C56B5">
        <w:rPr>
          <w:rFonts w:cstheme="minorHAnsi"/>
        </w:rPr>
        <w:t xml:space="preserve">Leave of Absence </w:t>
      </w:r>
      <w:r w:rsidRPr="003118D2">
        <w:rPr>
          <w:rFonts w:cstheme="minorHAnsi"/>
        </w:rPr>
        <w:t>spans two terms, e.g. student goes on leave at end of semester 1, and returns in semester 2 in the following term, the full fee would be due at the beginning of term.  Finance office (Collections) have the facility to override the due date on the tuition fees.</w:t>
      </w:r>
      <w:r w:rsidR="002D6E91">
        <w:rPr>
          <w:rFonts w:cstheme="minorHAnsi"/>
        </w:rPr>
        <w:t xml:space="preserve"> </w:t>
      </w:r>
      <w:r w:rsidRPr="003118D2">
        <w:rPr>
          <w:rFonts w:cstheme="minorHAnsi"/>
        </w:rPr>
        <w:t>This would need to be handled manually on an individual basis</w:t>
      </w:r>
      <w:r w:rsidR="003118D2" w:rsidRPr="003118D2">
        <w:rPr>
          <w:rFonts w:cstheme="minorHAnsi"/>
        </w:rPr>
        <w:t xml:space="preserve"> to </w:t>
      </w:r>
      <w:r w:rsidRPr="003118D2">
        <w:rPr>
          <w:rFonts w:cstheme="minorHAnsi"/>
        </w:rPr>
        <w:t>prevent the student’s fees from being overdue before the</w:t>
      </w:r>
      <w:r w:rsidR="002B7FDC">
        <w:rPr>
          <w:rFonts w:cstheme="minorHAnsi"/>
        </w:rPr>
        <w:t>ir</w:t>
      </w:r>
      <w:r w:rsidRPr="003118D2">
        <w:rPr>
          <w:rFonts w:cstheme="minorHAnsi"/>
        </w:rPr>
        <w:t xml:space="preserve"> return. </w:t>
      </w:r>
    </w:p>
    <w:p w14:paraId="0B41D59E" w14:textId="77777777" w:rsidR="00063C5B" w:rsidRPr="00063C5B" w:rsidRDefault="00063C5B" w:rsidP="00C35C2C">
      <w:pPr>
        <w:pStyle w:val="ListParagraph"/>
        <w:rPr>
          <w:rFonts w:cstheme="minorHAnsi"/>
        </w:rPr>
      </w:pPr>
    </w:p>
    <w:p w14:paraId="4C2A3BB8" w14:textId="5ACB3CDD" w:rsidR="00063C5B" w:rsidRPr="003118D2" w:rsidRDefault="00063C5B" w:rsidP="002D6E91">
      <w:pPr>
        <w:pStyle w:val="ListParagraph"/>
        <w:numPr>
          <w:ilvl w:val="0"/>
          <w:numId w:val="1"/>
        </w:numPr>
        <w:spacing w:after="0" w:line="240" w:lineRule="auto"/>
        <w:jc w:val="both"/>
        <w:rPr>
          <w:rFonts w:cstheme="minorHAnsi"/>
        </w:rPr>
      </w:pPr>
      <w:r>
        <w:rPr>
          <w:rFonts w:cstheme="minorHAnsi"/>
        </w:rPr>
        <w:t xml:space="preserve">Each LoA request will include a proposed end date for the LoA. In advance of this date the School should review the case to determine whether the LoA should be concluded at the originally proposed </w:t>
      </w:r>
      <w:r w:rsidR="00C35C2C">
        <w:rPr>
          <w:rFonts w:cstheme="minorHAnsi"/>
        </w:rPr>
        <w:t>date or</w:t>
      </w:r>
      <w:r>
        <w:rPr>
          <w:rFonts w:cstheme="minorHAnsi"/>
        </w:rPr>
        <w:t xml:space="preserve"> extended. </w:t>
      </w:r>
      <w:r w:rsidR="00C35C2C">
        <w:rPr>
          <w:rFonts w:cstheme="minorHAnsi"/>
        </w:rPr>
        <w:t xml:space="preserve"> </w:t>
      </w:r>
      <w:r>
        <w:rPr>
          <w:rFonts w:cstheme="minorHAnsi"/>
        </w:rPr>
        <w:t xml:space="preserve">The School should contact </w:t>
      </w:r>
      <w:r w:rsidR="006A1206">
        <w:rPr>
          <w:rFonts w:cstheme="minorHAnsi"/>
        </w:rPr>
        <w:t>Registry</w:t>
      </w:r>
      <w:r>
        <w:rPr>
          <w:rFonts w:cstheme="minorHAnsi"/>
        </w:rPr>
        <w:t xml:space="preserve"> to</w:t>
      </w:r>
      <w:r w:rsidR="006A1206">
        <w:rPr>
          <w:rFonts w:cstheme="minorHAnsi"/>
        </w:rPr>
        <w:t xml:space="preserve"> </w:t>
      </w:r>
      <w:r>
        <w:rPr>
          <w:rFonts w:cstheme="minorHAnsi"/>
        </w:rPr>
        <w:t>request an extension</w:t>
      </w:r>
      <w:r w:rsidR="006A1206">
        <w:rPr>
          <w:rFonts w:cstheme="minorHAnsi"/>
        </w:rPr>
        <w:t xml:space="preserve"> if required, otherwise the indicator will be automatically removed once the end date has passed.</w:t>
      </w:r>
    </w:p>
    <w:p w14:paraId="747671F8" w14:textId="77777777" w:rsidR="00782B7C" w:rsidRPr="003118D2" w:rsidRDefault="00782B7C" w:rsidP="002D6E91">
      <w:pPr>
        <w:spacing w:after="0" w:line="240" w:lineRule="auto"/>
        <w:ind w:left="360"/>
        <w:jc w:val="both"/>
        <w:rPr>
          <w:rFonts w:cstheme="minorHAnsi"/>
        </w:rPr>
      </w:pPr>
    </w:p>
    <w:sectPr w:rsidR="00782B7C" w:rsidRPr="00311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766"/>
    <w:multiLevelType w:val="hybridMultilevel"/>
    <w:tmpl w:val="6590C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87407"/>
    <w:multiLevelType w:val="hybridMultilevel"/>
    <w:tmpl w:val="3074539E"/>
    <w:lvl w:ilvl="0" w:tplc="3F1EDD74">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78EE"/>
    <w:multiLevelType w:val="hybridMultilevel"/>
    <w:tmpl w:val="38325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72577"/>
    <w:multiLevelType w:val="hybridMultilevel"/>
    <w:tmpl w:val="10C22B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065528"/>
    <w:multiLevelType w:val="hybridMultilevel"/>
    <w:tmpl w:val="AC2A3E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C4830"/>
    <w:multiLevelType w:val="hybridMultilevel"/>
    <w:tmpl w:val="E876B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E5B3C"/>
    <w:multiLevelType w:val="hybridMultilevel"/>
    <w:tmpl w:val="5EF2F2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40D41"/>
    <w:multiLevelType w:val="hybridMultilevel"/>
    <w:tmpl w:val="4060F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448D"/>
    <w:multiLevelType w:val="hybridMultilevel"/>
    <w:tmpl w:val="112E8AC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54CD1"/>
    <w:multiLevelType w:val="hybridMultilevel"/>
    <w:tmpl w:val="20F25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B53AB9"/>
    <w:multiLevelType w:val="hybridMultilevel"/>
    <w:tmpl w:val="9FF4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05DA0"/>
    <w:multiLevelType w:val="hybridMultilevel"/>
    <w:tmpl w:val="219CCD2C"/>
    <w:lvl w:ilvl="0" w:tplc="AEB6298A">
      <w:start w:val="1"/>
      <w:numFmt w:val="upp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CC267B"/>
    <w:multiLevelType w:val="hybridMultilevel"/>
    <w:tmpl w:val="31C0FF06"/>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A6377"/>
    <w:multiLevelType w:val="hybridMultilevel"/>
    <w:tmpl w:val="FF38AFD4"/>
    <w:lvl w:ilvl="0" w:tplc="7F0216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47B80"/>
    <w:multiLevelType w:val="hybridMultilevel"/>
    <w:tmpl w:val="3B965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7"/>
  </w:num>
  <w:num w:numId="6">
    <w:abstractNumId w:val="4"/>
  </w:num>
  <w:num w:numId="7">
    <w:abstractNumId w:val="1"/>
  </w:num>
  <w:num w:numId="8">
    <w:abstractNumId w:val="13"/>
  </w:num>
  <w:num w:numId="9">
    <w:abstractNumId w:val="10"/>
  </w:num>
  <w:num w:numId="10">
    <w:abstractNumId w:val="8"/>
  </w:num>
  <w:num w:numId="11">
    <w:abstractNumId w:val="14"/>
  </w:num>
  <w:num w:numId="12">
    <w:abstractNumId w:val="6"/>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13"/>
    <w:rsid w:val="00011C7E"/>
    <w:rsid w:val="00055F8F"/>
    <w:rsid w:val="00063C5B"/>
    <w:rsid w:val="000A0908"/>
    <w:rsid w:val="000A379A"/>
    <w:rsid w:val="000A3FD8"/>
    <w:rsid w:val="000A46FA"/>
    <w:rsid w:val="000B1878"/>
    <w:rsid w:val="000C4E51"/>
    <w:rsid w:val="00124727"/>
    <w:rsid w:val="00132865"/>
    <w:rsid w:val="001414AF"/>
    <w:rsid w:val="00147089"/>
    <w:rsid w:val="00175013"/>
    <w:rsid w:val="001A2999"/>
    <w:rsid w:val="001C33C8"/>
    <w:rsid w:val="001C7E04"/>
    <w:rsid w:val="001E133D"/>
    <w:rsid w:val="001E7A27"/>
    <w:rsid w:val="001F1908"/>
    <w:rsid w:val="002079A2"/>
    <w:rsid w:val="00273871"/>
    <w:rsid w:val="00275D22"/>
    <w:rsid w:val="0029285B"/>
    <w:rsid w:val="002A40BF"/>
    <w:rsid w:val="002B7FDC"/>
    <w:rsid w:val="002D4D82"/>
    <w:rsid w:val="002D6E91"/>
    <w:rsid w:val="002E4B2E"/>
    <w:rsid w:val="003118D2"/>
    <w:rsid w:val="003136C7"/>
    <w:rsid w:val="003218C6"/>
    <w:rsid w:val="003270B3"/>
    <w:rsid w:val="003632FA"/>
    <w:rsid w:val="00365D35"/>
    <w:rsid w:val="00371737"/>
    <w:rsid w:val="003A207B"/>
    <w:rsid w:val="003C0ED1"/>
    <w:rsid w:val="00417248"/>
    <w:rsid w:val="00424467"/>
    <w:rsid w:val="00452F40"/>
    <w:rsid w:val="00454EA9"/>
    <w:rsid w:val="00464621"/>
    <w:rsid w:val="004656A3"/>
    <w:rsid w:val="00472615"/>
    <w:rsid w:val="0049577F"/>
    <w:rsid w:val="004B3180"/>
    <w:rsid w:val="004C15AD"/>
    <w:rsid w:val="004F33D7"/>
    <w:rsid w:val="005002BB"/>
    <w:rsid w:val="00502AA2"/>
    <w:rsid w:val="0052741D"/>
    <w:rsid w:val="00531789"/>
    <w:rsid w:val="00565E29"/>
    <w:rsid w:val="0056769D"/>
    <w:rsid w:val="00570970"/>
    <w:rsid w:val="00583F61"/>
    <w:rsid w:val="005955FB"/>
    <w:rsid w:val="005956AE"/>
    <w:rsid w:val="005A4583"/>
    <w:rsid w:val="005A46C8"/>
    <w:rsid w:val="005A6F41"/>
    <w:rsid w:val="005F001F"/>
    <w:rsid w:val="005F05DB"/>
    <w:rsid w:val="006135FA"/>
    <w:rsid w:val="00614942"/>
    <w:rsid w:val="006319F8"/>
    <w:rsid w:val="00632221"/>
    <w:rsid w:val="006428D6"/>
    <w:rsid w:val="00674053"/>
    <w:rsid w:val="00694DDD"/>
    <w:rsid w:val="006A1206"/>
    <w:rsid w:val="006B7944"/>
    <w:rsid w:val="006C5FAF"/>
    <w:rsid w:val="006F53C8"/>
    <w:rsid w:val="00707F4C"/>
    <w:rsid w:val="00745B34"/>
    <w:rsid w:val="007562CA"/>
    <w:rsid w:val="00782B7C"/>
    <w:rsid w:val="00783E59"/>
    <w:rsid w:val="007862C0"/>
    <w:rsid w:val="00791F12"/>
    <w:rsid w:val="007A7A32"/>
    <w:rsid w:val="007E2C65"/>
    <w:rsid w:val="008414AC"/>
    <w:rsid w:val="00850EAA"/>
    <w:rsid w:val="00850F27"/>
    <w:rsid w:val="008525D1"/>
    <w:rsid w:val="0085365A"/>
    <w:rsid w:val="008625F0"/>
    <w:rsid w:val="00870E11"/>
    <w:rsid w:val="0089763F"/>
    <w:rsid w:val="008B0141"/>
    <w:rsid w:val="008B76C4"/>
    <w:rsid w:val="008C3EF1"/>
    <w:rsid w:val="008C6BB5"/>
    <w:rsid w:val="008E1726"/>
    <w:rsid w:val="008F5B2A"/>
    <w:rsid w:val="0090042C"/>
    <w:rsid w:val="00973B31"/>
    <w:rsid w:val="009B5E0F"/>
    <w:rsid w:val="009C56B5"/>
    <w:rsid w:val="009D6C8F"/>
    <w:rsid w:val="009E7D72"/>
    <w:rsid w:val="00A10100"/>
    <w:rsid w:val="00A47E47"/>
    <w:rsid w:val="00A52ED3"/>
    <w:rsid w:val="00A72621"/>
    <w:rsid w:val="00A773DD"/>
    <w:rsid w:val="00A942C9"/>
    <w:rsid w:val="00A95594"/>
    <w:rsid w:val="00AA1643"/>
    <w:rsid w:val="00AC465A"/>
    <w:rsid w:val="00AC539B"/>
    <w:rsid w:val="00AD3848"/>
    <w:rsid w:val="00AE0F7E"/>
    <w:rsid w:val="00B015E3"/>
    <w:rsid w:val="00B11105"/>
    <w:rsid w:val="00B16849"/>
    <w:rsid w:val="00B20019"/>
    <w:rsid w:val="00B53D97"/>
    <w:rsid w:val="00B55B42"/>
    <w:rsid w:val="00B84179"/>
    <w:rsid w:val="00B94A70"/>
    <w:rsid w:val="00BB50DE"/>
    <w:rsid w:val="00BF4532"/>
    <w:rsid w:val="00C01E9F"/>
    <w:rsid w:val="00C2654E"/>
    <w:rsid w:val="00C265D0"/>
    <w:rsid w:val="00C35C2C"/>
    <w:rsid w:val="00C514C7"/>
    <w:rsid w:val="00C55F7C"/>
    <w:rsid w:val="00C7129B"/>
    <w:rsid w:val="00C93D89"/>
    <w:rsid w:val="00CF42D0"/>
    <w:rsid w:val="00D4135A"/>
    <w:rsid w:val="00D46CF3"/>
    <w:rsid w:val="00D74BCF"/>
    <w:rsid w:val="00DF79A8"/>
    <w:rsid w:val="00E566C0"/>
    <w:rsid w:val="00E65F5F"/>
    <w:rsid w:val="00E83D35"/>
    <w:rsid w:val="00E84044"/>
    <w:rsid w:val="00E94FF8"/>
    <w:rsid w:val="00EA73D1"/>
    <w:rsid w:val="00EB1208"/>
    <w:rsid w:val="00EC7CBA"/>
    <w:rsid w:val="00EE15A6"/>
    <w:rsid w:val="00EF331F"/>
    <w:rsid w:val="00F11712"/>
    <w:rsid w:val="00F42EE1"/>
    <w:rsid w:val="00F76189"/>
    <w:rsid w:val="00F76429"/>
    <w:rsid w:val="00F87949"/>
    <w:rsid w:val="00FA7214"/>
    <w:rsid w:val="00FB435A"/>
    <w:rsid w:val="00FC2A50"/>
    <w:rsid w:val="00FD6DD7"/>
    <w:rsid w:val="00FE3BFE"/>
    <w:rsid w:val="00FF26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0A70"/>
  <w15:chartTrackingRefBased/>
  <w15:docId w15:val="{FF4D5C52-9455-490C-AA6B-8F140B0C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13"/>
    <w:pPr>
      <w:ind w:left="720"/>
      <w:contextualSpacing/>
    </w:pPr>
  </w:style>
  <w:style w:type="character" w:styleId="CommentReference">
    <w:name w:val="annotation reference"/>
    <w:basedOn w:val="DefaultParagraphFont"/>
    <w:uiPriority w:val="99"/>
    <w:semiHidden/>
    <w:unhideWhenUsed/>
    <w:rsid w:val="00FE3BFE"/>
    <w:rPr>
      <w:sz w:val="16"/>
      <w:szCs w:val="16"/>
    </w:rPr>
  </w:style>
  <w:style w:type="paragraph" w:styleId="CommentText">
    <w:name w:val="annotation text"/>
    <w:basedOn w:val="Normal"/>
    <w:link w:val="CommentTextChar"/>
    <w:uiPriority w:val="99"/>
    <w:semiHidden/>
    <w:unhideWhenUsed/>
    <w:rsid w:val="00FE3BFE"/>
    <w:pPr>
      <w:spacing w:line="240" w:lineRule="auto"/>
    </w:pPr>
    <w:rPr>
      <w:sz w:val="20"/>
      <w:szCs w:val="20"/>
    </w:rPr>
  </w:style>
  <w:style w:type="character" w:customStyle="1" w:styleId="CommentTextChar">
    <w:name w:val="Comment Text Char"/>
    <w:basedOn w:val="DefaultParagraphFont"/>
    <w:link w:val="CommentText"/>
    <w:uiPriority w:val="99"/>
    <w:semiHidden/>
    <w:rsid w:val="00FE3BFE"/>
    <w:rPr>
      <w:sz w:val="20"/>
      <w:szCs w:val="20"/>
    </w:rPr>
  </w:style>
  <w:style w:type="paragraph" w:styleId="CommentSubject">
    <w:name w:val="annotation subject"/>
    <w:basedOn w:val="CommentText"/>
    <w:next w:val="CommentText"/>
    <w:link w:val="CommentSubjectChar"/>
    <w:uiPriority w:val="99"/>
    <w:semiHidden/>
    <w:unhideWhenUsed/>
    <w:rsid w:val="00FE3BFE"/>
    <w:rPr>
      <w:b/>
      <w:bCs/>
    </w:rPr>
  </w:style>
  <w:style w:type="character" w:customStyle="1" w:styleId="CommentSubjectChar">
    <w:name w:val="Comment Subject Char"/>
    <w:basedOn w:val="CommentTextChar"/>
    <w:link w:val="CommentSubject"/>
    <w:uiPriority w:val="99"/>
    <w:semiHidden/>
    <w:rsid w:val="00FE3BFE"/>
    <w:rPr>
      <w:b/>
      <w:bCs/>
      <w:sz w:val="20"/>
      <w:szCs w:val="20"/>
    </w:rPr>
  </w:style>
  <w:style w:type="paragraph" w:styleId="BalloonText">
    <w:name w:val="Balloon Text"/>
    <w:basedOn w:val="Normal"/>
    <w:link w:val="BalloonTextChar"/>
    <w:uiPriority w:val="99"/>
    <w:semiHidden/>
    <w:unhideWhenUsed/>
    <w:rsid w:val="00FE3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FE"/>
    <w:rPr>
      <w:rFonts w:ascii="Segoe UI" w:hAnsi="Segoe UI" w:cs="Segoe UI"/>
      <w:sz w:val="18"/>
      <w:szCs w:val="18"/>
    </w:rPr>
  </w:style>
  <w:style w:type="character" w:styleId="Hyperlink">
    <w:name w:val="Hyperlink"/>
    <w:basedOn w:val="DefaultParagraphFont"/>
    <w:uiPriority w:val="99"/>
    <w:unhideWhenUsed/>
    <w:rsid w:val="000A0908"/>
    <w:rPr>
      <w:color w:val="0000FF"/>
      <w:u w:val="single"/>
    </w:rPr>
  </w:style>
  <w:style w:type="character" w:customStyle="1" w:styleId="UnresolvedMention1">
    <w:name w:val="Unresolved Mention1"/>
    <w:basedOn w:val="DefaultParagraphFont"/>
    <w:uiPriority w:val="99"/>
    <w:semiHidden/>
    <w:unhideWhenUsed/>
    <w:rsid w:val="000A0908"/>
    <w:rPr>
      <w:color w:val="605E5C"/>
      <w:shd w:val="clear" w:color="auto" w:fill="E1DFDD"/>
    </w:rPr>
  </w:style>
  <w:style w:type="paragraph" w:styleId="NormalWeb">
    <w:name w:val="Normal (Web)"/>
    <w:basedOn w:val="Normal"/>
    <w:uiPriority w:val="99"/>
    <w:unhideWhenUsed/>
    <w:rsid w:val="005F00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E17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79A8"/>
    <w:rPr>
      <w:color w:val="954F72" w:themeColor="followedHyperlink"/>
      <w:u w:val="single"/>
    </w:rPr>
  </w:style>
  <w:style w:type="character" w:styleId="UnresolvedMention">
    <w:name w:val="Unresolved Mention"/>
    <w:basedOn w:val="DefaultParagraphFont"/>
    <w:uiPriority w:val="99"/>
    <w:semiHidden/>
    <w:unhideWhenUsed/>
    <w:rsid w:val="00C3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723232">
      <w:bodyDiv w:val="1"/>
      <w:marLeft w:val="0"/>
      <w:marRight w:val="0"/>
      <w:marTop w:val="0"/>
      <w:marBottom w:val="0"/>
      <w:divBdr>
        <w:top w:val="none" w:sz="0" w:space="0" w:color="auto"/>
        <w:left w:val="none" w:sz="0" w:space="0" w:color="auto"/>
        <w:bottom w:val="none" w:sz="0" w:space="0" w:color="auto"/>
        <w:right w:val="none" w:sz="0" w:space="0" w:color="auto"/>
      </w:divBdr>
    </w:div>
    <w:div w:id="20904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yglasgow/senateoffice/policies/uniregs/regulations2019-20/feesandgeneral/studentsupportandconductmatters/reg34/" TargetMode="External"/><Relationship Id="rId5" Type="http://schemas.openxmlformats.org/officeDocument/2006/relationships/hyperlink" Target="https://www.gla.ac.uk/myglasgow/senateoffice/policies/uniregs/regulations2020-21/feesandgeneral/studentsupportandconductmatters/reg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Durning</dc:creator>
  <cp:keywords/>
  <dc:description/>
  <cp:lastModifiedBy>Chris Buckland</cp:lastModifiedBy>
  <cp:revision>6</cp:revision>
  <dcterms:created xsi:type="dcterms:W3CDTF">2020-08-06T15:20:00Z</dcterms:created>
  <dcterms:modified xsi:type="dcterms:W3CDTF">2021-01-25T14:24:00Z</dcterms:modified>
</cp:coreProperties>
</file>