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A1" w:rsidRPr="004344A1" w:rsidRDefault="004344A1" w:rsidP="004344A1">
      <w:pPr>
        <w:pStyle w:val="NoSpacing"/>
        <w:jc w:val="center"/>
        <w:rPr>
          <w:rFonts w:eastAsia="Arial Bold" w:cs="Arial"/>
          <w:b/>
          <w:szCs w:val="22"/>
        </w:rPr>
      </w:pPr>
      <w:r w:rsidRPr="004344A1">
        <w:rPr>
          <w:rFonts w:cs="Arial"/>
          <w:b/>
          <w:szCs w:val="22"/>
        </w:rPr>
        <w:t>Graduate School Review – College of Science and Engineering</w:t>
      </w:r>
    </w:p>
    <w:p w:rsidR="004344A1" w:rsidRPr="004344A1" w:rsidRDefault="004344A1" w:rsidP="004344A1">
      <w:pPr>
        <w:pStyle w:val="NoSpacing"/>
        <w:jc w:val="center"/>
        <w:rPr>
          <w:rFonts w:eastAsia="Arial Bold" w:cs="Arial"/>
          <w:b/>
          <w:szCs w:val="22"/>
        </w:rPr>
      </w:pPr>
      <w:r w:rsidRPr="004344A1">
        <w:rPr>
          <w:rFonts w:cs="Arial"/>
          <w:b/>
          <w:szCs w:val="22"/>
          <w:lang w:val="nl-NL"/>
        </w:rPr>
        <w:t>5 May 2017, Kelvin Meeting Room</w:t>
      </w:r>
    </w:p>
    <w:p w:rsidR="004344A1" w:rsidRPr="004344A1" w:rsidRDefault="004344A1" w:rsidP="004344A1">
      <w:pPr>
        <w:pStyle w:val="NoSpacing"/>
        <w:jc w:val="center"/>
        <w:rPr>
          <w:rFonts w:cs="Arial"/>
          <w:b/>
          <w:szCs w:val="22"/>
        </w:rPr>
      </w:pPr>
      <w:r w:rsidRPr="004344A1">
        <w:rPr>
          <w:rFonts w:cs="Arial"/>
          <w:b/>
          <w:szCs w:val="22"/>
        </w:rPr>
        <w:t>Number 11, The Square</w:t>
      </w:r>
    </w:p>
    <w:p w:rsidR="004344A1" w:rsidRPr="004344A1" w:rsidRDefault="004344A1" w:rsidP="004344A1">
      <w:pPr>
        <w:pStyle w:val="NoSpacing"/>
        <w:jc w:val="center"/>
        <w:rPr>
          <w:rFonts w:cs="Arial"/>
          <w:b/>
          <w:szCs w:val="22"/>
        </w:rPr>
      </w:pPr>
    </w:p>
    <w:p w:rsidR="004344A1" w:rsidRPr="004344A1" w:rsidRDefault="004344A1" w:rsidP="004344A1">
      <w:pPr>
        <w:pStyle w:val="NoSpacing"/>
        <w:rPr>
          <w:rFonts w:eastAsia="Arial Bold" w:cs="Arial"/>
          <w:b/>
          <w:szCs w:val="22"/>
        </w:rPr>
      </w:pPr>
      <w:r w:rsidRPr="004344A1">
        <w:rPr>
          <w:rFonts w:cs="Arial"/>
          <w:b/>
          <w:szCs w:val="22"/>
        </w:rPr>
        <w:t>Introduction to the Review</w:t>
      </w:r>
    </w:p>
    <w:p w:rsidR="004344A1" w:rsidRPr="004344A1" w:rsidRDefault="004344A1" w:rsidP="004344A1">
      <w:pPr>
        <w:pStyle w:val="NoSpacing"/>
        <w:rPr>
          <w:rFonts w:cs="Arial"/>
          <w:szCs w:val="22"/>
        </w:rPr>
      </w:pPr>
      <w:r w:rsidRPr="004344A1">
        <w:rPr>
          <w:rFonts w:cs="Arial"/>
          <w:szCs w:val="22"/>
        </w:rPr>
        <w:t xml:space="preserve">A Review Panel met on 5 May 2017 with staff, listed in the tables below, from the Graduate School (GS) in the College of Science and Engineering (COSE) to discuss the written submission (Self-Evaluation Questionnaire [SEQ]) the GS made to the Review Panel.  </w:t>
      </w:r>
    </w:p>
    <w:p w:rsidR="004344A1" w:rsidRPr="004344A1" w:rsidRDefault="004344A1" w:rsidP="004344A1">
      <w:pPr>
        <w:pStyle w:val="NoSpacing"/>
        <w:rPr>
          <w:rFonts w:cs="Arial"/>
          <w:szCs w:val="22"/>
        </w:rPr>
      </w:pPr>
    </w:p>
    <w:p w:rsidR="004344A1" w:rsidRPr="004344A1" w:rsidRDefault="004344A1" w:rsidP="004344A1">
      <w:pPr>
        <w:pStyle w:val="NoSpacing"/>
        <w:rPr>
          <w:rFonts w:cs="Arial"/>
          <w:szCs w:val="22"/>
        </w:rPr>
      </w:pPr>
      <w:r w:rsidRPr="004344A1">
        <w:rPr>
          <w:rFonts w:cs="Arial"/>
          <w:szCs w:val="22"/>
        </w:rPr>
        <w:t>Meetings were held separately with senior staff and Postgraduate Convenors, students and supervisory staff culminating in a wrap up meeting with senior</w:t>
      </w:r>
      <w:r w:rsidR="0028509F">
        <w:rPr>
          <w:rFonts w:cs="Arial"/>
          <w:szCs w:val="22"/>
        </w:rPr>
        <w:t xml:space="preserve"> staff.  The Panel comprised </w:t>
      </w:r>
      <w:r w:rsidRPr="004344A1">
        <w:rPr>
          <w:rFonts w:cs="Arial"/>
          <w:szCs w:val="22"/>
        </w:rPr>
        <w:t>one internal member, one external member, one Senate Assessor, one student member, a senior member of staff as Convenor and a Clerk from the Research Strategy and Innovation Office.</w:t>
      </w:r>
    </w:p>
    <w:p w:rsidR="004344A1" w:rsidRPr="004344A1" w:rsidRDefault="004344A1" w:rsidP="004344A1">
      <w:pPr>
        <w:pStyle w:val="NoSpacing"/>
        <w:rPr>
          <w:rFonts w:eastAsia="Arial Bold" w:cs="Arial"/>
          <w:b/>
          <w:szCs w:val="22"/>
        </w:rPr>
      </w:pP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i/>
          <w:sz w:val="22"/>
          <w:szCs w:val="22"/>
        </w:rPr>
      </w:pPr>
      <w:r w:rsidRPr="004344A1">
        <w:rPr>
          <w:rFonts w:ascii="Arial" w:hAnsi="Arial" w:cs="Arial"/>
          <w:b/>
          <w:i/>
          <w:sz w:val="22"/>
          <w:szCs w:val="22"/>
        </w:rPr>
        <w:t xml:space="preserve">Panel Members: </w:t>
      </w: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i/>
          <w:sz w:val="22"/>
          <w:szCs w:val="22"/>
        </w:rPr>
      </w:pP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86"/>
        <w:gridCol w:w="3079"/>
        <w:gridCol w:w="3077"/>
      </w:tblGrid>
      <w:tr w:rsidR="004344A1" w:rsidRPr="004344A1" w:rsidTr="00A44019">
        <w:trPr>
          <w:trHeight w:val="243"/>
        </w:trPr>
        <w:tc>
          <w:tcPr>
            <w:tcW w:w="3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Professor Miles Padgett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University of Glasgow</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Chair</w:t>
            </w:r>
          </w:p>
        </w:tc>
      </w:tr>
      <w:tr w:rsidR="004344A1" w:rsidRPr="004344A1" w:rsidTr="00A44019">
        <w:trPr>
          <w:trHeight w:val="243"/>
        </w:trPr>
        <w:tc>
          <w:tcPr>
            <w:tcW w:w="3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Professor Chris Phillips</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Imperial College</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External Panel Member</w:t>
            </w:r>
          </w:p>
        </w:tc>
      </w:tr>
      <w:tr w:rsidR="004344A1" w:rsidRPr="004344A1" w:rsidTr="00A44019">
        <w:trPr>
          <w:trHeight w:val="243"/>
        </w:trPr>
        <w:tc>
          <w:tcPr>
            <w:tcW w:w="3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Professor Jo-Anne Murray</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University of Glasgow</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Internal Panel Member</w:t>
            </w:r>
          </w:p>
        </w:tc>
      </w:tr>
      <w:tr w:rsidR="004344A1" w:rsidRPr="004344A1" w:rsidTr="00A44019">
        <w:trPr>
          <w:trHeight w:val="243"/>
        </w:trPr>
        <w:tc>
          <w:tcPr>
            <w:tcW w:w="3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Professor Karen Lury</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University of Glasgow</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Senate Assessor</w:t>
            </w:r>
          </w:p>
        </w:tc>
      </w:tr>
      <w:tr w:rsidR="004344A1" w:rsidRPr="004344A1" w:rsidTr="00A44019">
        <w:trPr>
          <w:trHeight w:val="243"/>
        </w:trPr>
        <w:tc>
          <w:tcPr>
            <w:tcW w:w="3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Bob Rooney</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University of Glasgow</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Student Panel Member</w:t>
            </w:r>
          </w:p>
        </w:tc>
      </w:tr>
      <w:tr w:rsidR="004344A1" w:rsidRPr="004344A1" w:rsidTr="00A44019">
        <w:trPr>
          <w:trHeight w:val="243"/>
        </w:trPr>
        <w:tc>
          <w:tcPr>
            <w:tcW w:w="3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Mary Beth Kneafsey</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University of Glasgow</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Clerk to Panel</w:t>
            </w:r>
          </w:p>
        </w:tc>
      </w:tr>
    </w:tbl>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4344A1">
        <w:rPr>
          <w:rFonts w:ascii="Arial" w:hAnsi="Arial" w:cs="Arial"/>
          <w:b/>
          <w:sz w:val="22"/>
          <w:szCs w:val="22"/>
        </w:rPr>
        <w:t xml:space="preserve">Review Meeting Attendance: </w:t>
      </w: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r w:rsidRPr="004344A1">
        <w:rPr>
          <w:rFonts w:ascii="Arial" w:hAnsi="Arial" w:cs="Arial"/>
          <w:b/>
          <w:bCs/>
          <w:i/>
          <w:iCs/>
          <w:sz w:val="22"/>
          <w:szCs w:val="22"/>
        </w:rPr>
        <w:t>Key Staff Meeting</w:t>
      </w: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7"/>
        <w:gridCol w:w="2835"/>
        <w:gridCol w:w="3600"/>
      </w:tblGrid>
      <w:tr w:rsidR="004344A1" w:rsidRPr="004344A1" w:rsidTr="00A44019">
        <w:trPr>
          <w:trHeight w:val="243"/>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Name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School</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4344A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Role</w:t>
            </w:r>
          </w:p>
        </w:tc>
      </w:tr>
      <w:tr w:rsidR="004344A1" w:rsidRPr="004344A1" w:rsidTr="00A44019">
        <w:trPr>
          <w:trHeight w:val="483"/>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Professor Susan Waldron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Graduate School / School of Geographical and Earth Sciences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Dean of Graduate Studies</w:t>
            </w:r>
          </w:p>
        </w:tc>
      </w:tr>
      <w:tr w:rsidR="004344A1" w:rsidRPr="004344A1" w:rsidTr="00A44019">
        <w:trPr>
          <w:trHeight w:val="243"/>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Ms. Heather Lambie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Graduate School</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color w:val="000000"/>
                <w:sz w:val="22"/>
                <w:szCs w:val="22"/>
                <w:lang w:eastAsia="en-GB"/>
              </w:rPr>
              <w:t>Graduate School Manager</w:t>
            </w:r>
          </w:p>
        </w:tc>
      </w:tr>
      <w:tr w:rsidR="004344A1" w:rsidRPr="004344A1" w:rsidTr="00A44019">
        <w:trPr>
          <w:trHeight w:val="483"/>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Mrs. Pat Duncan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Graduate School</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color w:val="000000"/>
                <w:sz w:val="22"/>
                <w:szCs w:val="22"/>
                <w:lang w:eastAsia="en-GB"/>
              </w:rPr>
              <w:t>Head of Academic and Student Administration</w:t>
            </w:r>
          </w:p>
        </w:tc>
      </w:tr>
      <w:tr w:rsidR="004344A1" w:rsidRPr="004344A1" w:rsidTr="00A44019">
        <w:trPr>
          <w:trHeight w:val="483"/>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Dr. Anthony Kelly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Engineering</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PG Convenor</w:t>
            </w:r>
          </w:p>
        </w:tc>
      </w:tr>
      <w:tr w:rsidR="004344A1" w:rsidRPr="004344A1" w:rsidTr="00A44019">
        <w:trPr>
          <w:trHeight w:val="243"/>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Dr. Stefan Hild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Physics and Astronomy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PG Convenor</w:t>
            </w:r>
          </w:p>
        </w:tc>
      </w:tr>
    </w:tbl>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r w:rsidRPr="004344A1">
        <w:rPr>
          <w:rFonts w:ascii="Arial" w:hAnsi="Arial" w:cs="Arial"/>
          <w:b/>
          <w:bCs/>
          <w:i/>
          <w:iCs/>
          <w:sz w:val="22"/>
          <w:szCs w:val="22"/>
        </w:rPr>
        <w:lastRenderedPageBreak/>
        <w:t>Student Meeting</w:t>
      </w: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823"/>
        <w:gridCol w:w="5193"/>
      </w:tblGrid>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AC492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AC4921">
              <w:rPr>
                <w:rFonts w:ascii="Arial" w:hAnsi="Arial" w:cs="Arial"/>
                <w:b/>
                <w:sz w:val="22"/>
                <w:szCs w:val="22"/>
              </w:rPr>
              <w:t>Name</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AC492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AC4921">
              <w:rPr>
                <w:rFonts w:ascii="Arial" w:hAnsi="Arial" w:cs="Arial"/>
                <w:b/>
                <w:sz w:val="22"/>
                <w:szCs w:val="22"/>
              </w:rPr>
              <w:t>School</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Helmi Kreinan</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Chemistry</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Sarah Griffin</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Chemistry</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Kirsty Annand</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Physics and Astronomy</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Danielle Morrison</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Psychology</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Charlie Gilles</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Geographical and Earth Sciences</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Blair Archibald</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Computing Science</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 xml:space="preserve">Maria Evangelopoulou </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Computing Science</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Justin Sperling</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Engineering</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sz w:val="22"/>
                <w:szCs w:val="22"/>
                <w:lang w:eastAsia="en-GB"/>
              </w:rPr>
            </w:pPr>
            <w:r w:rsidRPr="004344A1">
              <w:rPr>
                <w:rFonts w:ascii="Arial" w:hAnsi="Arial" w:cs="Arial"/>
                <w:sz w:val="22"/>
                <w:szCs w:val="22"/>
                <w:lang w:eastAsia="en-GB"/>
              </w:rPr>
              <w:t>Ashwini Venkatasubramaniam</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Engineering</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Angela Tabiri</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Mathematics and Statistics</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Samuel Evington</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Mathematics and Statistics</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Yoana Borisova</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Mathematics and Statistics</w:t>
            </w:r>
          </w:p>
        </w:tc>
      </w:tr>
      <w:tr w:rsidR="004344A1" w:rsidRPr="004344A1" w:rsidTr="004344A1">
        <w:trPr>
          <w:trHeight w:val="170"/>
        </w:trPr>
        <w:tc>
          <w:tcPr>
            <w:tcW w:w="21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Richard Middlemiss</w:t>
            </w:r>
          </w:p>
        </w:tc>
        <w:tc>
          <w:tcPr>
            <w:tcW w:w="2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Physics and Astronomy</w:t>
            </w:r>
          </w:p>
        </w:tc>
      </w:tr>
    </w:tbl>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r w:rsidRPr="004344A1">
        <w:rPr>
          <w:rFonts w:ascii="Arial" w:hAnsi="Arial" w:cs="Arial"/>
          <w:b/>
          <w:bCs/>
          <w:i/>
          <w:iCs/>
          <w:sz w:val="22"/>
          <w:szCs w:val="22"/>
        </w:rPr>
        <w:t>Supervisor Meeting</w:t>
      </w: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tbl>
      <w:tblPr>
        <w:tblW w:w="5000" w:type="pct"/>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709"/>
        <w:gridCol w:w="5307"/>
      </w:tblGrid>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AC492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AC4921">
              <w:rPr>
                <w:rFonts w:ascii="Arial" w:hAnsi="Arial" w:cs="Arial"/>
                <w:b/>
                <w:sz w:val="22"/>
                <w:szCs w:val="22"/>
              </w:rPr>
              <w:t>Name</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AC492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AC4921">
              <w:rPr>
                <w:rFonts w:ascii="Arial" w:hAnsi="Arial" w:cs="Arial"/>
                <w:b/>
                <w:sz w:val="22"/>
                <w:szCs w:val="22"/>
              </w:rPr>
              <w:t>School</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Ross Forgan</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Chemistry</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Lee Cronin</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Chemistry</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Joelle Prunet</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Chemistry</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Christina Cobbold</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Mathematics and Statistics</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Donald McLaren</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Physics and Astronomy</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Aidan Robson</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Physics and Astronomy</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Martin Lages</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Psychology</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Nick Kamenos</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Geographical and Earth Sciences</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Craig MacDonald</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Computing Science</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Nikolajj Gadegaard</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Engineering</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Huabing Yin</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Engineering</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Scott Watson</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Engineering</w:t>
            </w:r>
          </w:p>
        </w:tc>
      </w:tr>
      <w:tr w:rsidR="004344A1" w:rsidRPr="004344A1" w:rsidTr="004344A1">
        <w:trPr>
          <w:trHeight w:val="283"/>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David Featherstone</w:t>
            </w:r>
          </w:p>
        </w:tc>
        <w:tc>
          <w:tcPr>
            <w:tcW w:w="29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School of Geographical and Earth Sciences</w:t>
            </w:r>
          </w:p>
        </w:tc>
      </w:tr>
    </w:tbl>
    <w:p w:rsidR="009C50AB" w:rsidRDefault="009C50AB"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r w:rsidRPr="004344A1">
        <w:rPr>
          <w:rFonts w:ascii="Arial" w:hAnsi="Arial" w:cs="Arial"/>
          <w:b/>
          <w:bCs/>
          <w:i/>
          <w:iCs/>
          <w:sz w:val="22"/>
          <w:szCs w:val="22"/>
        </w:rPr>
        <w:lastRenderedPageBreak/>
        <w:t>Final Review Meeting</w:t>
      </w:r>
    </w:p>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2"/>
          <w:szCs w:val="22"/>
        </w:rPr>
      </w:pP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60"/>
        <w:gridCol w:w="2839"/>
        <w:gridCol w:w="3743"/>
      </w:tblGrid>
      <w:tr w:rsidR="004344A1" w:rsidRPr="004344A1" w:rsidTr="00A44019">
        <w:trPr>
          <w:trHeight w:val="243"/>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AC492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AC4921">
              <w:rPr>
                <w:rFonts w:ascii="Arial" w:hAnsi="Arial" w:cs="Arial"/>
                <w:b/>
                <w:sz w:val="22"/>
                <w:szCs w:val="22"/>
              </w:rPr>
              <w:t>Name</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AC492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AC4921">
              <w:rPr>
                <w:rFonts w:ascii="Arial" w:hAnsi="Arial" w:cs="Arial"/>
                <w:b/>
                <w:sz w:val="22"/>
                <w:szCs w:val="22"/>
              </w:rPr>
              <w:t>School</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44A1" w:rsidRPr="00AC4921" w:rsidRDefault="004344A1" w:rsidP="00A440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AC4921">
              <w:rPr>
                <w:rFonts w:ascii="Arial" w:hAnsi="Arial" w:cs="Arial"/>
                <w:b/>
                <w:sz w:val="22"/>
                <w:szCs w:val="22"/>
              </w:rPr>
              <w:t>Role</w:t>
            </w:r>
          </w:p>
        </w:tc>
      </w:tr>
      <w:tr w:rsidR="004344A1" w:rsidRPr="004344A1" w:rsidTr="00A44019">
        <w:trPr>
          <w:trHeight w:val="243"/>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Professor Muffy Calder</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College of Science and Engineering</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Head of College</w:t>
            </w:r>
          </w:p>
        </w:tc>
      </w:tr>
      <w:tr w:rsidR="004344A1" w:rsidRPr="004344A1" w:rsidTr="00A44019">
        <w:trPr>
          <w:trHeight w:val="243"/>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Professor Susan Waldron</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 xml:space="preserve">Graduate School </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sz w:val="22"/>
                <w:szCs w:val="22"/>
              </w:rPr>
              <w:t>Dean of Graduate Studies</w:t>
            </w:r>
          </w:p>
        </w:tc>
      </w:tr>
      <w:tr w:rsidR="004344A1" w:rsidRPr="004344A1" w:rsidTr="00A44019">
        <w:trPr>
          <w:trHeight w:val="243"/>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Ms. Heather Lambie</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Graduate School</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color w:val="000000"/>
                <w:sz w:val="22"/>
                <w:szCs w:val="22"/>
                <w:lang w:eastAsia="en-GB"/>
              </w:rPr>
              <w:t>Graduate School Manager</w:t>
            </w:r>
          </w:p>
        </w:tc>
      </w:tr>
      <w:tr w:rsidR="004344A1" w:rsidRPr="004344A1" w:rsidTr="00A44019">
        <w:trPr>
          <w:trHeight w:val="314"/>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Mrs. Pat Duncan</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344A1" w:rsidRPr="004344A1" w:rsidRDefault="004344A1" w:rsidP="004344A1">
            <w:pPr>
              <w:rPr>
                <w:rFonts w:ascii="Arial" w:hAnsi="Arial" w:cs="Arial"/>
                <w:color w:val="000000"/>
                <w:sz w:val="22"/>
                <w:szCs w:val="22"/>
                <w:lang w:eastAsia="en-GB"/>
              </w:rPr>
            </w:pPr>
            <w:r w:rsidRPr="004344A1">
              <w:rPr>
                <w:rFonts w:ascii="Arial" w:hAnsi="Arial" w:cs="Arial"/>
                <w:color w:val="000000"/>
                <w:sz w:val="22"/>
                <w:szCs w:val="22"/>
                <w:lang w:eastAsia="en-GB"/>
              </w:rPr>
              <w:t>Graduate School</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44A1" w:rsidRPr="004344A1" w:rsidRDefault="004344A1" w:rsidP="004344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4A1">
              <w:rPr>
                <w:rFonts w:ascii="Arial" w:hAnsi="Arial" w:cs="Arial"/>
                <w:color w:val="000000"/>
                <w:sz w:val="22"/>
                <w:szCs w:val="22"/>
                <w:lang w:eastAsia="en-GB"/>
              </w:rPr>
              <w:t>Head of Academic and Student Administration</w:t>
            </w:r>
          </w:p>
        </w:tc>
      </w:tr>
    </w:tbl>
    <w:p w:rsidR="000638EA" w:rsidRPr="004344A1" w:rsidRDefault="000638EA">
      <w:pPr>
        <w:rPr>
          <w:rFonts w:ascii="Arial" w:hAnsi="Arial" w:cs="Arial"/>
          <w:sz w:val="22"/>
          <w:szCs w:val="22"/>
        </w:rPr>
      </w:pPr>
    </w:p>
    <w:p w:rsidR="004344A1" w:rsidRPr="004344A1" w:rsidRDefault="004344A1">
      <w:pPr>
        <w:rPr>
          <w:rFonts w:ascii="Arial" w:hAnsi="Arial" w:cs="Arial"/>
          <w:sz w:val="22"/>
          <w:szCs w:val="22"/>
        </w:rPr>
      </w:pPr>
    </w:p>
    <w:p w:rsidR="00670091" w:rsidRPr="00576C6A" w:rsidRDefault="00595E52" w:rsidP="0067009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2"/>
          <w:szCs w:val="22"/>
        </w:rPr>
      </w:pPr>
      <w:r>
        <w:rPr>
          <w:rFonts w:ascii="Arial" w:hAnsi="Arial" w:cs="Arial"/>
          <w:b/>
          <w:sz w:val="22"/>
          <w:szCs w:val="22"/>
        </w:rPr>
        <w:t>Summary of Discussions</w:t>
      </w:r>
    </w:p>
    <w:p w:rsidR="00670091" w:rsidRDefault="00670091" w:rsidP="0067009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The Panel met prior to the Review meeting to dis</w:t>
      </w:r>
      <w:r w:rsidR="005431DD">
        <w:rPr>
          <w:rFonts w:ascii="Arial" w:hAnsi="Arial" w:cs="Arial"/>
          <w:sz w:val="22"/>
          <w:szCs w:val="22"/>
        </w:rPr>
        <w:t xml:space="preserve">cuss their impressions from the </w:t>
      </w:r>
      <w:r>
        <w:rPr>
          <w:rFonts w:ascii="Arial" w:hAnsi="Arial" w:cs="Arial"/>
          <w:sz w:val="22"/>
          <w:szCs w:val="22"/>
        </w:rPr>
        <w:t xml:space="preserve">SEQ.  A number of themes were agreed for discussion. In the various sessions, similar questions and topics were discussed with each group to get a range of perspectives. </w:t>
      </w:r>
      <w:r w:rsidR="00A82B63">
        <w:rPr>
          <w:rFonts w:ascii="Arial" w:hAnsi="Arial" w:cs="Arial"/>
          <w:sz w:val="22"/>
          <w:szCs w:val="22"/>
        </w:rPr>
        <w:t xml:space="preserve"> </w:t>
      </w:r>
    </w:p>
    <w:p w:rsidR="00670091" w:rsidRDefault="00670091" w:rsidP="0067009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4344A1" w:rsidRDefault="00A82B63" w:rsidP="001E31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 xml:space="preserve">One issue that was noted in the narrative rather than in the statistical information provided was that of </w:t>
      </w:r>
      <w:r w:rsidR="00AC4921">
        <w:rPr>
          <w:rFonts w:ascii="Arial" w:hAnsi="Arial" w:cs="Arial"/>
          <w:sz w:val="22"/>
          <w:szCs w:val="22"/>
        </w:rPr>
        <w:t xml:space="preserve">timely </w:t>
      </w:r>
      <w:r>
        <w:rPr>
          <w:rFonts w:ascii="Arial" w:hAnsi="Arial" w:cs="Arial"/>
          <w:sz w:val="22"/>
          <w:szCs w:val="22"/>
        </w:rPr>
        <w:t xml:space="preserve">submission rates and </w:t>
      </w:r>
      <w:r w:rsidR="001E3127">
        <w:rPr>
          <w:rFonts w:ascii="Arial" w:hAnsi="Arial" w:cs="Arial"/>
          <w:sz w:val="22"/>
          <w:szCs w:val="22"/>
        </w:rPr>
        <w:t xml:space="preserve">a </w:t>
      </w:r>
      <w:r>
        <w:rPr>
          <w:rFonts w:ascii="Arial" w:hAnsi="Arial" w:cs="Arial"/>
          <w:sz w:val="22"/>
          <w:szCs w:val="22"/>
        </w:rPr>
        <w:t xml:space="preserve">particular </w:t>
      </w:r>
      <w:r w:rsidR="00DB2C06">
        <w:rPr>
          <w:rFonts w:ascii="Arial" w:hAnsi="Arial" w:cs="Arial"/>
          <w:sz w:val="22"/>
          <w:szCs w:val="22"/>
        </w:rPr>
        <w:t xml:space="preserve">School </w:t>
      </w:r>
      <w:r>
        <w:rPr>
          <w:rFonts w:ascii="Arial" w:hAnsi="Arial" w:cs="Arial"/>
          <w:sz w:val="22"/>
          <w:szCs w:val="22"/>
        </w:rPr>
        <w:t>where these were markedly</w:t>
      </w:r>
      <w:r w:rsidR="00DB2C06">
        <w:rPr>
          <w:rFonts w:ascii="Arial" w:hAnsi="Arial" w:cs="Arial"/>
          <w:sz w:val="22"/>
          <w:szCs w:val="22"/>
        </w:rPr>
        <w:t xml:space="preserve"> low. </w:t>
      </w:r>
      <w:r w:rsidR="00AC4921">
        <w:rPr>
          <w:rFonts w:ascii="Arial" w:hAnsi="Arial" w:cs="Arial"/>
          <w:sz w:val="22"/>
          <w:szCs w:val="22"/>
        </w:rPr>
        <w:t>The Panel also wanted to look into how Annual Progress Review (APR) was functioning and the engagement of staff with supervisor training as it felt that these were important as well as related to issues with low timely submission rates. Further, the Panel wished to understand how staff and students viewed the Graduate School and how they saw its role.</w:t>
      </w:r>
    </w:p>
    <w:p w:rsidR="00DB2C06" w:rsidRDefault="00DB2C06" w:rsidP="001E31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bookmarkStart w:id="0" w:name="_GoBack"/>
      <w:bookmarkEnd w:id="0"/>
    </w:p>
    <w:p w:rsidR="00DB2C06" w:rsidRDefault="00DB2C06" w:rsidP="00DB2C06">
      <w:pPr>
        <w:rPr>
          <w:rFonts w:ascii="Arial" w:hAnsi="Arial" w:cs="Arial"/>
          <w:sz w:val="22"/>
          <w:szCs w:val="22"/>
        </w:rPr>
      </w:pPr>
      <w:r>
        <w:rPr>
          <w:rFonts w:ascii="Arial" w:hAnsi="Arial" w:cs="Arial"/>
          <w:b/>
          <w:i/>
          <w:sz w:val="22"/>
          <w:szCs w:val="22"/>
        </w:rPr>
        <w:t>Submission Rates</w:t>
      </w:r>
    </w:p>
    <w:p w:rsidR="009C50AB" w:rsidRDefault="00DB2C06"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 xml:space="preserve">The overall submission rate for the College is, for the cohort starting in 2012, 74.8%. Some Schools have a high </w:t>
      </w:r>
      <w:r w:rsidR="005431DD">
        <w:rPr>
          <w:rFonts w:ascii="Arial" w:hAnsi="Arial" w:cs="Arial"/>
          <w:sz w:val="22"/>
          <w:szCs w:val="22"/>
        </w:rPr>
        <w:t xml:space="preserve">timely </w:t>
      </w:r>
      <w:r>
        <w:rPr>
          <w:rFonts w:ascii="Arial" w:hAnsi="Arial" w:cs="Arial"/>
          <w:sz w:val="22"/>
          <w:szCs w:val="22"/>
        </w:rPr>
        <w:t>submission rate of over 90% but two Schools fall below the 70% threshold seen a</w:t>
      </w:r>
      <w:r w:rsidR="00AC4921">
        <w:rPr>
          <w:rFonts w:ascii="Arial" w:hAnsi="Arial" w:cs="Arial"/>
          <w:sz w:val="22"/>
          <w:szCs w:val="22"/>
        </w:rPr>
        <w:t>s the minimum acceptable by most</w:t>
      </w:r>
      <w:r>
        <w:rPr>
          <w:rFonts w:ascii="Arial" w:hAnsi="Arial" w:cs="Arial"/>
          <w:sz w:val="22"/>
          <w:szCs w:val="22"/>
        </w:rPr>
        <w:t xml:space="preserve"> external funders. For the same year, the School of </w:t>
      </w:r>
      <w:r w:rsidR="00644CE9">
        <w:rPr>
          <w:rFonts w:ascii="Arial" w:hAnsi="Arial" w:cs="Arial"/>
          <w:sz w:val="22"/>
          <w:szCs w:val="22"/>
        </w:rPr>
        <w:t>Computing Science</w:t>
      </w:r>
      <w:r>
        <w:rPr>
          <w:rFonts w:ascii="Arial" w:hAnsi="Arial" w:cs="Arial"/>
          <w:sz w:val="22"/>
          <w:szCs w:val="22"/>
        </w:rPr>
        <w:t xml:space="preserve"> ha</w:t>
      </w:r>
      <w:r w:rsidR="005431DD">
        <w:rPr>
          <w:rFonts w:ascii="Arial" w:hAnsi="Arial" w:cs="Arial"/>
          <w:sz w:val="22"/>
          <w:szCs w:val="22"/>
        </w:rPr>
        <w:t>d</w:t>
      </w:r>
      <w:r>
        <w:rPr>
          <w:rFonts w:ascii="Arial" w:hAnsi="Arial" w:cs="Arial"/>
          <w:sz w:val="22"/>
          <w:szCs w:val="22"/>
        </w:rPr>
        <w:t xml:space="preserve"> a rate of 66.7% and the School of Engineering</w:t>
      </w:r>
      <w:r w:rsidR="005431DD">
        <w:rPr>
          <w:rFonts w:ascii="Arial" w:hAnsi="Arial" w:cs="Arial"/>
          <w:sz w:val="22"/>
          <w:szCs w:val="22"/>
        </w:rPr>
        <w:t>,</w:t>
      </w:r>
      <w:r>
        <w:rPr>
          <w:rFonts w:ascii="Arial" w:hAnsi="Arial" w:cs="Arial"/>
          <w:sz w:val="22"/>
          <w:szCs w:val="22"/>
        </w:rPr>
        <w:t xml:space="preserve"> a rate of 50%. The Panel noted that these were </w:t>
      </w:r>
      <w:r w:rsidRPr="00104806">
        <w:rPr>
          <w:rFonts w:ascii="Arial" w:hAnsi="Arial" w:cs="Arial"/>
          <w:sz w:val="22"/>
          <w:szCs w:val="22"/>
        </w:rPr>
        <w:t>submission</w:t>
      </w:r>
      <w:r>
        <w:rPr>
          <w:rFonts w:ascii="Arial" w:hAnsi="Arial" w:cs="Arial"/>
          <w:sz w:val="22"/>
          <w:szCs w:val="22"/>
        </w:rPr>
        <w:t xml:space="preserve"> rates for the softbound these</w:t>
      </w:r>
      <w:r w:rsidR="00AC4921">
        <w:rPr>
          <w:rFonts w:ascii="Arial" w:hAnsi="Arial" w:cs="Arial"/>
          <w:sz w:val="22"/>
          <w:szCs w:val="22"/>
        </w:rPr>
        <w:t>s</w:t>
      </w:r>
      <w:r>
        <w:rPr>
          <w:rFonts w:ascii="Arial" w:hAnsi="Arial" w:cs="Arial"/>
          <w:sz w:val="22"/>
          <w:szCs w:val="22"/>
        </w:rPr>
        <w:t xml:space="preserve"> within 4 years for full time students. </w:t>
      </w:r>
      <w:r w:rsidR="00104806">
        <w:rPr>
          <w:rFonts w:ascii="Arial" w:hAnsi="Arial" w:cs="Arial"/>
          <w:sz w:val="22"/>
          <w:szCs w:val="22"/>
        </w:rPr>
        <w:t xml:space="preserve">While there were concerns that these low numbers meant that students were failing to complete at all, this was not the case. </w:t>
      </w:r>
      <w:r w:rsidR="00AC4921">
        <w:rPr>
          <w:rFonts w:ascii="Arial" w:hAnsi="Arial" w:cs="Arial"/>
          <w:sz w:val="22"/>
          <w:szCs w:val="22"/>
        </w:rPr>
        <w:t>The issue is one of failing to submit</w:t>
      </w:r>
      <w:r w:rsidR="00104806">
        <w:rPr>
          <w:rFonts w:ascii="Arial" w:hAnsi="Arial" w:cs="Arial"/>
          <w:sz w:val="22"/>
          <w:szCs w:val="22"/>
        </w:rPr>
        <w:t xml:space="preserve"> on time. This is a matter </w:t>
      </w:r>
      <w:r w:rsidR="005431DD">
        <w:rPr>
          <w:rFonts w:ascii="Arial" w:hAnsi="Arial" w:cs="Arial"/>
          <w:sz w:val="22"/>
          <w:szCs w:val="22"/>
        </w:rPr>
        <w:t xml:space="preserve">already </w:t>
      </w:r>
      <w:r w:rsidR="00104806">
        <w:rPr>
          <w:rFonts w:ascii="Arial" w:hAnsi="Arial" w:cs="Arial"/>
          <w:sz w:val="22"/>
          <w:szCs w:val="22"/>
        </w:rPr>
        <w:t xml:space="preserve">under investigation </w:t>
      </w:r>
      <w:r w:rsidR="005431DD">
        <w:rPr>
          <w:rFonts w:ascii="Arial" w:hAnsi="Arial" w:cs="Arial"/>
          <w:sz w:val="22"/>
          <w:szCs w:val="22"/>
        </w:rPr>
        <w:t xml:space="preserve">by </w:t>
      </w:r>
      <w:r w:rsidR="00104806">
        <w:rPr>
          <w:rFonts w:ascii="Arial" w:hAnsi="Arial" w:cs="Arial"/>
          <w:sz w:val="22"/>
          <w:szCs w:val="22"/>
        </w:rPr>
        <w:t>the Graduate</w:t>
      </w:r>
      <w:r w:rsidR="005431DD">
        <w:rPr>
          <w:rFonts w:ascii="Arial" w:hAnsi="Arial" w:cs="Arial"/>
          <w:sz w:val="22"/>
          <w:szCs w:val="22"/>
        </w:rPr>
        <w:t xml:space="preserve"> </w:t>
      </w:r>
      <w:r w:rsidR="00104806">
        <w:rPr>
          <w:rFonts w:ascii="Arial" w:hAnsi="Arial" w:cs="Arial"/>
          <w:sz w:val="22"/>
          <w:szCs w:val="22"/>
        </w:rPr>
        <w:t>School</w:t>
      </w:r>
      <w:r w:rsidR="005431DD">
        <w:rPr>
          <w:rFonts w:ascii="Arial" w:hAnsi="Arial" w:cs="Arial"/>
          <w:sz w:val="22"/>
          <w:szCs w:val="22"/>
        </w:rPr>
        <w:t xml:space="preserve"> and the Schools. </w:t>
      </w:r>
    </w:p>
    <w:p w:rsidR="009C50AB" w:rsidRDefault="009C50AB"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9C79DA" w:rsidRDefault="005431DD"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S</w:t>
      </w:r>
      <w:r w:rsidR="009C79DA">
        <w:rPr>
          <w:rFonts w:ascii="Arial" w:hAnsi="Arial" w:cs="Arial"/>
          <w:sz w:val="22"/>
          <w:szCs w:val="22"/>
        </w:rPr>
        <w:t>everal</w:t>
      </w:r>
      <w:r w:rsidR="00A825F5">
        <w:rPr>
          <w:rFonts w:ascii="Arial" w:hAnsi="Arial" w:cs="Arial"/>
          <w:sz w:val="22"/>
          <w:szCs w:val="22"/>
        </w:rPr>
        <w:t xml:space="preserve"> </w:t>
      </w:r>
      <w:r w:rsidR="00AC4921">
        <w:rPr>
          <w:rFonts w:ascii="Arial" w:hAnsi="Arial" w:cs="Arial"/>
          <w:sz w:val="22"/>
          <w:szCs w:val="22"/>
        </w:rPr>
        <w:t>possible explanations</w:t>
      </w:r>
      <w:r w:rsidR="009C79DA">
        <w:rPr>
          <w:rFonts w:ascii="Arial" w:hAnsi="Arial" w:cs="Arial"/>
          <w:sz w:val="22"/>
          <w:szCs w:val="22"/>
        </w:rPr>
        <w:t xml:space="preserve"> </w:t>
      </w:r>
      <w:r w:rsidR="00A825F5">
        <w:rPr>
          <w:rFonts w:ascii="Arial" w:hAnsi="Arial" w:cs="Arial"/>
          <w:sz w:val="22"/>
          <w:szCs w:val="22"/>
        </w:rPr>
        <w:t xml:space="preserve">were </w:t>
      </w:r>
      <w:r w:rsidR="00AC4921">
        <w:rPr>
          <w:rFonts w:ascii="Arial" w:hAnsi="Arial" w:cs="Arial"/>
          <w:sz w:val="22"/>
          <w:szCs w:val="22"/>
        </w:rPr>
        <w:t>offered</w:t>
      </w:r>
      <w:r w:rsidR="009C79DA">
        <w:rPr>
          <w:rFonts w:ascii="Arial" w:hAnsi="Arial" w:cs="Arial"/>
          <w:sz w:val="22"/>
          <w:szCs w:val="22"/>
        </w:rPr>
        <w:t xml:space="preserve">: </w:t>
      </w:r>
    </w:p>
    <w:p w:rsidR="009C79DA" w:rsidRDefault="00A825F5" w:rsidP="009C79D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rsidRPr="009C79DA">
        <w:t>senior staff are often the worst offenders in terms of promoting timely submission</w:t>
      </w:r>
      <w:r w:rsidR="009C79DA">
        <w:t xml:space="preserve"> as they have not adapted to change</w:t>
      </w:r>
      <w:r w:rsidR="00503C0C">
        <w:t>s</w:t>
      </w:r>
      <w:r w:rsidR="009C79DA">
        <w:t xml:space="preserve"> in culture;</w:t>
      </w:r>
    </w:p>
    <w:p w:rsidR="009C79DA" w:rsidRDefault="009C79DA" w:rsidP="009C79D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students are asked to do many more things during their PhD than in the past, such as training, public engagement and career development related activities and this</w:t>
      </w:r>
      <w:r w:rsidR="005431DD">
        <w:t xml:space="preserve"> can be</w:t>
      </w:r>
      <w:r>
        <w:t xml:space="preserve"> a distraction;</w:t>
      </w:r>
      <w:r w:rsidR="00A825F5" w:rsidRPr="009C79DA">
        <w:t xml:space="preserve"> </w:t>
      </w:r>
    </w:p>
    <w:p w:rsidR="003243FB" w:rsidRDefault="00A825F5" w:rsidP="009C79D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rsidRPr="009C79DA">
        <w:t>students are often quite productive near the end of their PhD in terms of papers and presenting their results and</w:t>
      </w:r>
      <w:r w:rsidR="003243FB">
        <w:t xml:space="preserve"> this can be a distraction;</w:t>
      </w:r>
    </w:p>
    <w:p w:rsidR="00F72697" w:rsidRPr="009C79DA" w:rsidRDefault="003243FB" w:rsidP="009C79D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 xml:space="preserve">some delays are inevitable, such as </w:t>
      </w:r>
      <w:r w:rsidR="005431DD">
        <w:t xml:space="preserve">chronic </w:t>
      </w:r>
      <w:r>
        <w:t xml:space="preserve">illness or issues with </w:t>
      </w:r>
      <w:r w:rsidR="008E157F">
        <w:t xml:space="preserve">required </w:t>
      </w:r>
      <w:r>
        <w:t xml:space="preserve">equipment </w:t>
      </w:r>
      <w:r w:rsidR="008E157F">
        <w:t>or large scale collaborations.</w:t>
      </w:r>
      <w:r w:rsidR="00A825F5" w:rsidRPr="009C79DA">
        <w:t xml:space="preserve"> </w:t>
      </w:r>
    </w:p>
    <w:p w:rsidR="00F72697" w:rsidRDefault="00F72697"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DB2C06" w:rsidRDefault="00F72697"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lastRenderedPageBreak/>
        <w:t>It was noted that there was no specific sanction involved in failing to complete on time other than perhaps an extended unfunded period. Two other Colleges in the University were represented on the Panel and they reported that since tightening their approaches and not allowing students to continue beyond their maximum period without documented good cause has resulted in much higher submission rates and a clear perception that the deadline is firm. The external Panel member also noted that the submission rate in his institution was very high and that students who ran out of time were moved into a special status to indicate this and that there were financial implication</w:t>
      </w:r>
      <w:r w:rsidR="009C79DA">
        <w:rPr>
          <w:rFonts w:ascii="Arial" w:hAnsi="Arial" w:cs="Arial"/>
          <w:sz w:val="22"/>
          <w:szCs w:val="22"/>
        </w:rPr>
        <w:t>s</w:t>
      </w:r>
      <w:r>
        <w:rPr>
          <w:rFonts w:ascii="Arial" w:hAnsi="Arial" w:cs="Arial"/>
          <w:sz w:val="22"/>
          <w:szCs w:val="22"/>
        </w:rPr>
        <w:t xml:space="preserve"> for the student and the supervisor.  The Graduate School appreciates that this approach works but acknowledge</w:t>
      </w:r>
      <w:r w:rsidR="009C79DA">
        <w:rPr>
          <w:rFonts w:ascii="Arial" w:hAnsi="Arial" w:cs="Arial"/>
          <w:sz w:val="22"/>
          <w:szCs w:val="22"/>
        </w:rPr>
        <w:t>s</w:t>
      </w:r>
      <w:r>
        <w:rPr>
          <w:rFonts w:ascii="Arial" w:hAnsi="Arial" w:cs="Arial"/>
          <w:sz w:val="22"/>
          <w:szCs w:val="22"/>
        </w:rPr>
        <w:t xml:space="preserve"> that a sudden change would be difficult, if not unfair, and that for current students a failure to submit at the end of 4 years is </w:t>
      </w:r>
      <w:r w:rsidR="009C79DA">
        <w:rPr>
          <w:rFonts w:ascii="Arial" w:hAnsi="Arial" w:cs="Arial"/>
          <w:sz w:val="22"/>
          <w:szCs w:val="22"/>
        </w:rPr>
        <w:t xml:space="preserve">often </w:t>
      </w:r>
      <w:r>
        <w:rPr>
          <w:rFonts w:ascii="Arial" w:hAnsi="Arial" w:cs="Arial"/>
          <w:sz w:val="22"/>
          <w:szCs w:val="22"/>
        </w:rPr>
        <w:t xml:space="preserve">the result of problems that have already happened. </w:t>
      </w:r>
      <w:r w:rsidR="009C79DA">
        <w:rPr>
          <w:rFonts w:ascii="Arial" w:hAnsi="Arial" w:cs="Arial"/>
          <w:sz w:val="22"/>
          <w:szCs w:val="22"/>
        </w:rPr>
        <w:t>The Dean has, however, taken the approach of personally contacting supervisors for a discussion when she receiv</w:t>
      </w:r>
      <w:r w:rsidR="00907697">
        <w:rPr>
          <w:rFonts w:ascii="Arial" w:hAnsi="Arial" w:cs="Arial"/>
          <w:sz w:val="22"/>
          <w:szCs w:val="22"/>
        </w:rPr>
        <w:t>es an extension request to explore the reasons and be clear about the limitations.</w:t>
      </w:r>
    </w:p>
    <w:p w:rsidR="00F72697" w:rsidRDefault="00F72697"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F72697" w:rsidRDefault="00907697"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Workload issues were</w:t>
      </w:r>
      <w:r w:rsidR="00F72697">
        <w:rPr>
          <w:rFonts w:ascii="Arial" w:hAnsi="Arial" w:cs="Arial"/>
          <w:sz w:val="22"/>
          <w:szCs w:val="22"/>
        </w:rPr>
        <w:t xml:space="preserve"> mentioned in this context and that supervisors are generally supporting more students than in the past, alongside other duties which have also grown in scale or scope.  The Panel pointed out that students who fail to finish cost both time and money and that if supervisors could be motivated or supported to improve submission rates, that this would ease </w:t>
      </w:r>
      <w:r>
        <w:rPr>
          <w:rFonts w:ascii="Arial" w:hAnsi="Arial" w:cs="Arial"/>
          <w:sz w:val="22"/>
          <w:szCs w:val="22"/>
        </w:rPr>
        <w:t xml:space="preserve">some </w:t>
      </w:r>
      <w:r w:rsidR="00F72697">
        <w:rPr>
          <w:rFonts w:ascii="Arial" w:hAnsi="Arial" w:cs="Arial"/>
          <w:sz w:val="22"/>
          <w:szCs w:val="22"/>
        </w:rPr>
        <w:t xml:space="preserve">workload issues. </w:t>
      </w:r>
      <w:r w:rsidR="00057510">
        <w:rPr>
          <w:rFonts w:ascii="Arial" w:hAnsi="Arial" w:cs="Arial"/>
          <w:sz w:val="22"/>
          <w:szCs w:val="22"/>
        </w:rPr>
        <w:t>It was also noted that, while it may take time to fix this issue, fixing it should be a priority.</w:t>
      </w:r>
    </w:p>
    <w:p w:rsidR="00104806" w:rsidRDefault="00104806"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A55281" w:rsidRDefault="00A55281"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Students were queried on their perceptions about when they were required to submit. They do have a sense that not submitting on time was somehow a failure but they d</w:t>
      </w:r>
      <w:r w:rsidR="005431DD">
        <w:rPr>
          <w:rFonts w:ascii="Arial" w:hAnsi="Arial" w:cs="Arial"/>
          <w:sz w:val="22"/>
          <w:szCs w:val="22"/>
        </w:rPr>
        <w:t>idn’t</w:t>
      </w:r>
      <w:r w:rsidR="009C50AB">
        <w:rPr>
          <w:rFonts w:ascii="Arial" w:hAnsi="Arial" w:cs="Arial"/>
          <w:sz w:val="22"/>
          <w:szCs w:val="22"/>
        </w:rPr>
        <w:t xml:space="preserve"> know what the</w:t>
      </w:r>
      <w:r>
        <w:rPr>
          <w:rFonts w:ascii="Arial" w:hAnsi="Arial" w:cs="Arial"/>
          <w:sz w:val="22"/>
          <w:szCs w:val="22"/>
        </w:rPr>
        <w:t xml:space="preserve"> consequences of th</w:t>
      </w:r>
      <w:r w:rsidR="0085550C">
        <w:rPr>
          <w:rFonts w:ascii="Arial" w:hAnsi="Arial" w:cs="Arial"/>
          <w:sz w:val="22"/>
          <w:szCs w:val="22"/>
        </w:rPr>
        <w:t xml:space="preserve">is </w:t>
      </w:r>
      <w:r w:rsidR="005431DD">
        <w:rPr>
          <w:rFonts w:ascii="Arial" w:hAnsi="Arial" w:cs="Arial"/>
          <w:sz w:val="22"/>
          <w:szCs w:val="22"/>
        </w:rPr>
        <w:t>wer</w:t>
      </w:r>
      <w:r w:rsidR="0085550C">
        <w:rPr>
          <w:rFonts w:ascii="Arial" w:hAnsi="Arial" w:cs="Arial"/>
          <w:sz w:val="22"/>
          <w:szCs w:val="22"/>
        </w:rPr>
        <w:t xml:space="preserve">e. </w:t>
      </w:r>
      <w:r>
        <w:rPr>
          <w:rFonts w:ascii="Arial" w:hAnsi="Arial" w:cs="Arial"/>
          <w:sz w:val="22"/>
          <w:szCs w:val="22"/>
        </w:rPr>
        <w:t xml:space="preserve">One of the main drivers for students is that their funding runs out after 3 or 3.5 years and they are keen </w:t>
      </w:r>
      <w:r w:rsidR="0085550C">
        <w:rPr>
          <w:rFonts w:ascii="Arial" w:hAnsi="Arial" w:cs="Arial"/>
          <w:sz w:val="22"/>
          <w:szCs w:val="22"/>
        </w:rPr>
        <w:t xml:space="preserve">to submit before this happens. </w:t>
      </w:r>
      <w:r>
        <w:rPr>
          <w:rFonts w:ascii="Arial" w:hAnsi="Arial" w:cs="Arial"/>
          <w:sz w:val="22"/>
          <w:szCs w:val="22"/>
        </w:rPr>
        <w:t>For international students on Tier 4 visas, submitting before requiring a visa extension is a d</w:t>
      </w:r>
      <w:r w:rsidR="005431DD">
        <w:rPr>
          <w:rFonts w:ascii="Arial" w:hAnsi="Arial" w:cs="Arial"/>
          <w:sz w:val="22"/>
          <w:szCs w:val="22"/>
        </w:rPr>
        <w:t xml:space="preserve">river for earlier submission. </w:t>
      </w:r>
      <w:r>
        <w:rPr>
          <w:rFonts w:ascii="Arial" w:hAnsi="Arial" w:cs="Arial"/>
          <w:sz w:val="22"/>
          <w:szCs w:val="22"/>
        </w:rPr>
        <w:t>Students generally felt that supervisors didn’t particularly encourage them to finish or hol</w:t>
      </w:r>
      <w:r w:rsidR="0085550C">
        <w:rPr>
          <w:rFonts w:ascii="Arial" w:hAnsi="Arial" w:cs="Arial"/>
          <w:sz w:val="22"/>
          <w:szCs w:val="22"/>
        </w:rPr>
        <w:t xml:space="preserve">d out a firm deadline to them but that this would be useful. Students also observed that there is a lack of parity in that some students are </w:t>
      </w:r>
      <w:r w:rsidR="00907697">
        <w:rPr>
          <w:rFonts w:ascii="Arial" w:hAnsi="Arial" w:cs="Arial"/>
          <w:sz w:val="22"/>
          <w:szCs w:val="22"/>
        </w:rPr>
        <w:t xml:space="preserve">given work or funding might be </w:t>
      </w:r>
      <w:r w:rsidR="0085550C">
        <w:rPr>
          <w:rFonts w:ascii="Arial" w:hAnsi="Arial" w:cs="Arial"/>
          <w:sz w:val="22"/>
          <w:szCs w:val="22"/>
        </w:rPr>
        <w:t>found locally for them or that thesis pending fee</w:t>
      </w:r>
      <w:r w:rsidR="00907697">
        <w:rPr>
          <w:rFonts w:ascii="Arial" w:hAnsi="Arial" w:cs="Arial"/>
          <w:sz w:val="22"/>
          <w:szCs w:val="22"/>
        </w:rPr>
        <w:t>s</w:t>
      </w:r>
      <w:r w:rsidR="0085550C">
        <w:rPr>
          <w:rFonts w:ascii="Arial" w:hAnsi="Arial" w:cs="Arial"/>
          <w:sz w:val="22"/>
          <w:szCs w:val="22"/>
        </w:rPr>
        <w:t xml:space="preserve"> might be waived or paid by the supervisor in some cases.</w:t>
      </w:r>
    </w:p>
    <w:p w:rsidR="00A55281" w:rsidRDefault="00A55281"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907F54" w:rsidRDefault="00907F54"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Staff felt that there were ‘cultural issues’ in some areas that related to low submission rates.  While staff in place now are keen to address these issues, there are views and habits that have not been so easy to change. Staff also note there are no visible consequences for non-submission for either staff or students and that students know th</w:t>
      </w:r>
      <w:r w:rsidR="00907697">
        <w:rPr>
          <w:rFonts w:ascii="Arial" w:hAnsi="Arial" w:cs="Arial"/>
          <w:sz w:val="22"/>
          <w:szCs w:val="22"/>
        </w:rPr>
        <w:t>at they can ask for extensions.</w:t>
      </w:r>
      <w:r>
        <w:rPr>
          <w:rFonts w:ascii="Arial" w:hAnsi="Arial" w:cs="Arial"/>
          <w:sz w:val="22"/>
          <w:szCs w:val="22"/>
        </w:rPr>
        <w:t xml:space="preserve"> The challenges inherent in various funder regulations were also discussed</w:t>
      </w:r>
      <w:r w:rsidR="00907697">
        <w:rPr>
          <w:rFonts w:ascii="Arial" w:hAnsi="Arial" w:cs="Arial"/>
          <w:sz w:val="22"/>
          <w:szCs w:val="22"/>
        </w:rPr>
        <w:t xml:space="preserve">; </w:t>
      </w:r>
      <w:r>
        <w:rPr>
          <w:rFonts w:ascii="Arial" w:hAnsi="Arial" w:cs="Arial"/>
          <w:sz w:val="22"/>
          <w:szCs w:val="22"/>
        </w:rPr>
        <w:t xml:space="preserve">some funders </w:t>
      </w:r>
      <w:r w:rsidR="00907697">
        <w:rPr>
          <w:rFonts w:ascii="Arial" w:hAnsi="Arial" w:cs="Arial"/>
          <w:sz w:val="22"/>
          <w:szCs w:val="22"/>
        </w:rPr>
        <w:t>provide funding</w:t>
      </w:r>
      <w:r>
        <w:rPr>
          <w:rFonts w:ascii="Arial" w:hAnsi="Arial" w:cs="Arial"/>
          <w:sz w:val="22"/>
          <w:szCs w:val="22"/>
        </w:rPr>
        <w:t xml:space="preserve"> for 3 years, some for 3.5 and some for 4 years.  </w:t>
      </w:r>
      <w:r w:rsidR="00907697">
        <w:rPr>
          <w:rFonts w:ascii="Arial" w:hAnsi="Arial" w:cs="Arial"/>
          <w:sz w:val="22"/>
          <w:szCs w:val="22"/>
        </w:rPr>
        <w:t>It can be difficult to interpret w</w:t>
      </w:r>
      <w:r>
        <w:rPr>
          <w:rFonts w:ascii="Arial" w:hAnsi="Arial" w:cs="Arial"/>
          <w:sz w:val="22"/>
          <w:szCs w:val="22"/>
        </w:rPr>
        <w:t xml:space="preserve">hat, if any, part of this is a writing-up period. An unfunded writing up period was </w:t>
      </w:r>
      <w:r w:rsidR="00907697">
        <w:rPr>
          <w:rFonts w:ascii="Arial" w:hAnsi="Arial" w:cs="Arial"/>
          <w:sz w:val="22"/>
          <w:szCs w:val="22"/>
        </w:rPr>
        <w:t>acknowledged</w:t>
      </w:r>
      <w:r>
        <w:rPr>
          <w:rFonts w:ascii="Arial" w:hAnsi="Arial" w:cs="Arial"/>
          <w:sz w:val="22"/>
          <w:szCs w:val="22"/>
        </w:rPr>
        <w:t xml:space="preserve"> as a challenge for timely submission as </w:t>
      </w:r>
      <w:r w:rsidR="005431DD">
        <w:rPr>
          <w:rFonts w:ascii="Arial" w:hAnsi="Arial" w:cs="Arial"/>
          <w:sz w:val="22"/>
          <w:szCs w:val="22"/>
        </w:rPr>
        <w:t>students</w:t>
      </w:r>
      <w:r>
        <w:rPr>
          <w:rFonts w:ascii="Arial" w:hAnsi="Arial" w:cs="Arial"/>
          <w:sz w:val="22"/>
          <w:szCs w:val="22"/>
        </w:rPr>
        <w:t xml:space="preserve"> </w:t>
      </w:r>
      <w:r w:rsidR="00907697">
        <w:rPr>
          <w:rFonts w:ascii="Arial" w:hAnsi="Arial" w:cs="Arial"/>
          <w:sz w:val="22"/>
          <w:szCs w:val="22"/>
        </w:rPr>
        <w:t xml:space="preserve">often </w:t>
      </w:r>
      <w:r>
        <w:rPr>
          <w:rFonts w:ascii="Arial" w:hAnsi="Arial" w:cs="Arial"/>
          <w:sz w:val="22"/>
          <w:szCs w:val="22"/>
        </w:rPr>
        <w:t xml:space="preserve">seek employment when they run out of funding which impacts on their ability to submit.  Supervisors felt that better communication would be useful and clear messages about expectations and consequences would be beneficial.  </w:t>
      </w:r>
    </w:p>
    <w:p w:rsidR="00907F54" w:rsidRDefault="00907F54" w:rsidP="00104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9C79DA" w:rsidRDefault="00907697">
      <w:pPr>
        <w:rPr>
          <w:rFonts w:ascii="Arial" w:hAnsi="Arial" w:cs="Arial"/>
          <w:b/>
          <w:i/>
          <w:sz w:val="22"/>
          <w:szCs w:val="22"/>
        </w:rPr>
      </w:pPr>
      <w:r>
        <w:rPr>
          <w:rFonts w:ascii="Arial" w:hAnsi="Arial" w:cs="Arial"/>
          <w:b/>
          <w:i/>
          <w:sz w:val="22"/>
          <w:szCs w:val="22"/>
        </w:rPr>
        <w:t>A</w:t>
      </w:r>
      <w:r w:rsidR="009C79DA">
        <w:rPr>
          <w:rFonts w:ascii="Arial" w:hAnsi="Arial" w:cs="Arial"/>
          <w:b/>
          <w:i/>
          <w:sz w:val="22"/>
          <w:szCs w:val="22"/>
        </w:rPr>
        <w:t xml:space="preserve">nnual Progress Review </w:t>
      </w:r>
    </w:p>
    <w:p w:rsidR="00907697" w:rsidRDefault="00057510" w:rsidP="009C79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The Graduate School, the students</w:t>
      </w:r>
      <w:r w:rsidR="00907F54">
        <w:rPr>
          <w:rFonts w:ascii="Arial" w:hAnsi="Arial" w:cs="Arial"/>
          <w:sz w:val="22"/>
          <w:szCs w:val="22"/>
        </w:rPr>
        <w:t xml:space="preserve"> and the supervisors all felt that Annual Progress Review (APR) </w:t>
      </w:r>
      <w:r>
        <w:rPr>
          <w:rFonts w:ascii="Arial" w:hAnsi="Arial" w:cs="Arial"/>
          <w:sz w:val="22"/>
          <w:szCs w:val="22"/>
        </w:rPr>
        <w:t xml:space="preserve">was a process that was taken seriously. Progress interviews are conducted by a Panel with an independent convenor. The second supervisor may be present but the primary </w:t>
      </w:r>
      <w:r>
        <w:rPr>
          <w:rFonts w:ascii="Arial" w:hAnsi="Arial" w:cs="Arial"/>
          <w:sz w:val="22"/>
          <w:szCs w:val="22"/>
        </w:rPr>
        <w:lastRenderedPageBreak/>
        <w:t>supervisor is not included. The primary super</w:t>
      </w:r>
      <w:r w:rsidR="00566542">
        <w:rPr>
          <w:rFonts w:ascii="Arial" w:hAnsi="Arial" w:cs="Arial"/>
          <w:sz w:val="22"/>
          <w:szCs w:val="22"/>
        </w:rPr>
        <w:t>visor provides comments to the p</w:t>
      </w:r>
      <w:r>
        <w:rPr>
          <w:rFonts w:ascii="Arial" w:hAnsi="Arial" w:cs="Arial"/>
          <w:sz w:val="22"/>
          <w:szCs w:val="22"/>
        </w:rPr>
        <w:t>anel on the progress of the student</w:t>
      </w:r>
      <w:r w:rsidR="00566542">
        <w:rPr>
          <w:rFonts w:ascii="Arial" w:hAnsi="Arial" w:cs="Arial"/>
          <w:sz w:val="22"/>
          <w:szCs w:val="22"/>
        </w:rPr>
        <w:t xml:space="preserve"> as part of the submission to the panel. </w:t>
      </w:r>
      <w:r>
        <w:rPr>
          <w:rFonts w:ascii="Arial" w:hAnsi="Arial" w:cs="Arial"/>
          <w:sz w:val="22"/>
          <w:szCs w:val="22"/>
        </w:rPr>
        <w:t xml:space="preserve">The Graduate School feels that this enables the student to have an honest and independent assessment of their work as well as providing some experience of presenting their work to independent reviewers. The APR Panel then makes </w:t>
      </w:r>
      <w:r w:rsidR="009C50AB">
        <w:rPr>
          <w:rFonts w:ascii="Arial" w:hAnsi="Arial" w:cs="Arial"/>
          <w:sz w:val="22"/>
          <w:szCs w:val="22"/>
        </w:rPr>
        <w:t xml:space="preserve">a </w:t>
      </w:r>
      <w:r>
        <w:rPr>
          <w:rFonts w:ascii="Arial" w:hAnsi="Arial" w:cs="Arial"/>
          <w:sz w:val="22"/>
          <w:szCs w:val="22"/>
        </w:rPr>
        <w:t>recommendation as to whether the student should progress or be required to complete an improvement plan. Students requiring improvement are supported in the process of meeting the milestones in their plan. It was noted that few studen</w:t>
      </w:r>
      <w:r w:rsidR="00566542">
        <w:rPr>
          <w:rFonts w:ascii="Arial" w:hAnsi="Arial" w:cs="Arial"/>
          <w:sz w:val="22"/>
          <w:szCs w:val="22"/>
        </w:rPr>
        <w:t>ts require remedial action and very few</w:t>
      </w:r>
      <w:r>
        <w:rPr>
          <w:rFonts w:ascii="Arial" w:hAnsi="Arial" w:cs="Arial"/>
          <w:sz w:val="22"/>
          <w:szCs w:val="22"/>
        </w:rPr>
        <w:t xml:space="preserve"> fail to ultimately progress to the next year.</w:t>
      </w:r>
      <w:r w:rsidR="00842A1D">
        <w:rPr>
          <w:rFonts w:ascii="Arial" w:hAnsi="Arial" w:cs="Arial"/>
          <w:sz w:val="22"/>
          <w:szCs w:val="22"/>
        </w:rPr>
        <w:t xml:space="preserve"> </w:t>
      </w:r>
    </w:p>
    <w:p w:rsidR="00907697" w:rsidRDefault="00907697" w:rsidP="009C79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9C79DA" w:rsidRPr="00057510" w:rsidRDefault="00475AD2" w:rsidP="009C79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 xml:space="preserve">The external panel member queried the lack of participation by the supervisor in the </w:t>
      </w:r>
      <w:r w:rsidR="00566542">
        <w:rPr>
          <w:rFonts w:ascii="Arial" w:hAnsi="Arial" w:cs="Arial"/>
          <w:sz w:val="22"/>
          <w:szCs w:val="22"/>
        </w:rPr>
        <w:t>meeting,</w:t>
      </w:r>
      <w:r>
        <w:rPr>
          <w:rFonts w:ascii="Arial" w:hAnsi="Arial" w:cs="Arial"/>
          <w:sz w:val="22"/>
          <w:szCs w:val="22"/>
        </w:rPr>
        <w:t xml:space="preserve"> as this is not com</w:t>
      </w:r>
      <w:r w:rsidR="00A44019">
        <w:rPr>
          <w:rFonts w:ascii="Arial" w:hAnsi="Arial" w:cs="Arial"/>
          <w:sz w:val="22"/>
          <w:szCs w:val="22"/>
        </w:rPr>
        <w:t>mon practice across the sector.</w:t>
      </w:r>
      <w:r>
        <w:rPr>
          <w:rFonts w:ascii="Arial" w:hAnsi="Arial" w:cs="Arial"/>
          <w:sz w:val="22"/>
          <w:szCs w:val="22"/>
        </w:rPr>
        <w:t xml:space="preserve"> It was noted that MVLS has a similar system </w:t>
      </w:r>
      <w:r w:rsidR="00842A1D">
        <w:rPr>
          <w:rFonts w:ascii="Arial" w:hAnsi="Arial" w:cs="Arial"/>
          <w:sz w:val="22"/>
          <w:szCs w:val="22"/>
        </w:rPr>
        <w:t xml:space="preserve">where the supervisor does not participate </w:t>
      </w:r>
      <w:r>
        <w:rPr>
          <w:rFonts w:ascii="Arial" w:hAnsi="Arial" w:cs="Arial"/>
          <w:sz w:val="22"/>
          <w:szCs w:val="22"/>
        </w:rPr>
        <w:t>although in that case the student sees the same independent pan</w:t>
      </w:r>
      <w:r w:rsidR="00A44019">
        <w:rPr>
          <w:rFonts w:ascii="Arial" w:hAnsi="Arial" w:cs="Arial"/>
          <w:sz w:val="22"/>
          <w:szCs w:val="22"/>
        </w:rPr>
        <w:t>el throughout their programme rather than a different panel each year.</w:t>
      </w:r>
    </w:p>
    <w:p w:rsidR="009C79DA" w:rsidRDefault="009C79DA">
      <w:pPr>
        <w:rPr>
          <w:rFonts w:ascii="Arial" w:hAnsi="Arial" w:cs="Arial"/>
          <w:b/>
          <w:i/>
          <w:sz w:val="22"/>
          <w:szCs w:val="22"/>
        </w:rPr>
      </w:pPr>
    </w:p>
    <w:p w:rsidR="00907F54" w:rsidRPr="0085550C" w:rsidRDefault="0085550C" w:rsidP="005665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Students found the APR process useful</w:t>
      </w:r>
      <w:r w:rsidR="00907697">
        <w:rPr>
          <w:rFonts w:ascii="Arial" w:hAnsi="Arial" w:cs="Arial"/>
          <w:sz w:val="22"/>
          <w:szCs w:val="22"/>
        </w:rPr>
        <w:t>,</w:t>
      </w:r>
      <w:r>
        <w:rPr>
          <w:rFonts w:ascii="Arial" w:hAnsi="Arial" w:cs="Arial"/>
          <w:sz w:val="22"/>
          <w:szCs w:val="22"/>
        </w:rPr>
        <w:t xml:space="preserve"> if bureaucratic</w:t>
      </w:r>
      <w:r w:rsidR="00907697">
        <w:rPr>
          <w:rFonts w:ascii="Arial" w:hAnsi="Arial" w:cs="Arial"/>
          <w:sz w:val="22"/>
          <w:szCs w:val="22"/>
        </w:rPr>
        <w:t>, and appreciated the opportunity to discuss their work</w:t>
      </w:r>
      <w:r>
        <w:rPr>
          <w:rFonts w:ascii="Arial" w:hAnsi="Arial" w:cs="Arial"/>
          <w:sz w:val="22"/>
          <w:szCs w:val="22"/>
        </w:rPr>
        <w:t xml:space="preserve">. However, they note that there are inconsistencies across the </w:t>
      </w:r>
      <w:r w:rsidR="00907697">
        <w:rPr>
          <w:rFonts w:ascii="Arial" w:hAnsi="Arial" w:cs="Arial"/>
          <w:sz w:val="22"/>
          <w:szCs w:val="22"/>
        </w:rPr>
        <w:t xml:space="preserve">Schools and subjects / divisions </w:t>
      </w:r>
      <w:r w:rsidR="006044E6">
        <w:rPr>
          <w:rFonts w:ascii="Arial" w:hAnsi="Arial" w:cs="Arial"/>
          <w:sz w:val="22"/>
          <w:szCs w:val="22"/>
        </w:rPr>
        <w:t xml:space="preserve">in terms of how students are informed </w:t>
      </w:r>
      <w:r w:rsidR="009C50AB">
        <w:rPr>
          <w:rFonts w:ascii="Arial" w:hAnsi="Arial" w:cs="Arial"/>
          <w:sz w:val="22"/>
          <w:szCs w:val="22"/>
        </w:rPr>
        <w:t xml:space="preserve">of </w:t>
      </w:r>
      <w:r w:rsidR="006044E6">
        <w:rPr>
          <w:rFonts w:ascii="Arial" w:hAnsi="Arial" w:cs="Arial"/>
          <w:sz w:val="22"/>
          <w:szCs w:val="22"/>
        </w:rPr>
        <w:t>or prepared for APR, what is required to</w:t>
      </w:r>
      <w:r w:rsidR="00907697">
        <w:rPr>
          <w:rFonts w:ascii="Arial" w:hAnsi="Arial" w:cs="Arial"/>
          <w:sz w:val="22"/>
          <w:szCs w:val="22"/>
        </w:rPr>
        <w:t xml:space="preserve"> be</w:t>
      </w:r>
      <w:r w:rsidR="006044E6">
        <w:rPr>
          <w:rFonts w:ascii="Arial" w:hAnsi="Arial" w:cs="Arial"/>
          <w:sz w:val="22"/>
          <w:szCs w:val="22"/>
        </w:rPr>
        <w:t xml:space="preserve"> submit</w:t>
      </w:r>
      <w:r w:rsidR="00907697">
        <w:rPr>
          <w:rFonts w:ascii="Arial" w:hAnsi="Arial" w:cs="Arial"/>
          <w:sz w:val="22"/>
          <w:szCs w:val="22"/>
        </w:rPr>
        <w:t>ted</w:t>
      </w:r>
      <w:r w:rsidR="006044E6">
        <w:rPr>
          <w:rFonts w:ascii="Arial" w:hAnsi="Arial" w:cs="Arial"/>
          <w:sz w:val="22"/>
          <w:szCs w:val="22"/>
        </w:rPr>
        <w:t xml:space="preserve"> for the process and whether the process is approached negatively or positively by the panel convenors.</w:t>
      </w:r>
      <w:r w:rsidR="00284DF7">
        <w:rPr>
          <w:rFonts w:ascii="Arial" w:hAnsi="Arial" w:cs="Arial"/>
          <w:sz w:val="22"/>
          <w:szCs w:val="22"/>
        </w:rPr>
        <w:t xml:space="preserve"> </w:t>
      </w:r>
      <w:r w:rsidR="00907F54">
        <w:rPr>
          <w:rFonts w:ascii="Arial" w:hAnsi="Arial" w:cs="Arial"/>
          <w:sz w:val="22"/>
          <w:szCs w:val="22"/>
        </w:rPr>
        <w:t xml:space="preserve">Staff generally found APR to </w:t>
      </w:r>
      <w:r w:rsidR="009C50AB">
        <w:rPr>
          <w:rFonts w:ascii="Arial" w:hAnsi="Arial" w:cs="Arial"/>
          <w:sz w:val="22"/>
          <w:szCs w:val="22"/>
        </w:rPr>
        <w:t xml:space="preserve">be </w:t>
      </w:r>
      <w:r w:rsidR="00907F54">
        <w:rPr>
          <w:rFonts w:ascii="Arial" w:hAnsi="Arial" w:cs="Arial"/>
          <w:sz w:val="22"/>
          <w:szCs w:val="22"/>
        </w:rPr>
        <w:t xml:space="preserve">useful to keep students on track </w:t>
      </w:r>
      <w:r w:rsidR="000604BD">
        <w:rPr>
          <w:rFonts w:ascii="Arial" w:hAnsi="Arial" w:cs="Arial"/>
          <w:sz w:val="22"/>
          <w:szCs w:val="22"/>
        </w:rPr>
        <w:t xml:space="preserve">but </w:t>
      </w:r>
      <w:r w:rsidR="00284DF7">
        <w:rPr>
          <w:rFonts w:ascii="Arial" w:hAnsi="Arial" w:cs="Arial"/>
          <w:sz w:val="22"/>
          <w:szCs w:val="22"/>
        </w:rPr>
        <w:t xml:space="preserve">commented </w:t>
      </w:r>
      <w:r w:rsidR="000604BD">
        <w:rPr>
          <w:rFonts w:ascii="Arial" w:hAnsi="Arial" w:cs="Arial"/>
          <w:sz w:val="22"/>
          <w:szCs w:val="22"/>
        </w:rPr>
        <w:t xml:space="preserve">that where students were weaker it could be difficult to diagnose issues </w:t>
      </w:r>
      <w:r w:rsidR="005431DD">
        <w:rPr>
          <w:rFonts w:ascii="Arial" w:hAnsi="Arial" w:cs="Arial"/>
          <w:sz w:val="22"/>
          <w:szCs w:val="22"/>
        </w:rPr>
        <w:t xml:space="preserve">effectively </w:t>
      </w:r>
      <w:r w:rsidR="000604BD">
        <w:rPr>
          <w:rFonts w:ascii="Arial" w:hAnsi="Arial" w:cs="Arial"/>
          <w:sz w:val="22"/>
          <w:szCs w:val="22"/>
        </w:rPr>
        <w:t xml:space="preserve">and plan for improvement in this context. They </w:t>
      </w:r>
      <w:r w:rsidR="00952401">
        <w:rPr>
          <w:rFonts w:ascii="Arial" w:hAnsi="Arial" w:cs="Arial"/>
          <w:sz w:val="22"/>
          <w:szCs w:val="22"/>
        </w:rPr>
        <w:t>felt</w:t>
      </w:r>
      <w:r w:rsidR="000604BD">
        <w:rPr>
          <w:rFonts w:ascii="Arial" w:hAnsi="Arial" w:cs="Arial"/>
          <w:sz w:val="22"/>
          <w:szCs w:val="22"/>
        </w:rPr>
        <w:t xml:space="preserve"> </w:t>
      </w:r>
      <w:r w:rsidR="005431DD">
        <w:rPr>
          <w:rFonts w:ascii="Arial" w:hAnsi="Arial" w:cs="Arial"/>
          <w:sz w:val="22"/>
          <w:szCs w:val="22"/>
        </w:rPr>
        <w:t xml:space="preserve">that recent </w:t>
      </w:r>
      <w:r w:rsidR="000604BD">
        <w:rPr>
          <w:rFonts w:ascii="Arial" w:hAnsi="Arial" w:cs="Arial"/>
          <w:sz w:val="22"/>
          <w:szCs w:val="22"/>
        </w:rPr>
        <w:t xml:space="preserve">changes </w:t>
      </w:r>
      <w:r w:rsidR="00284DF7">
        <w:rPr>
          <w:rFonts w:ascii="Arial" w:hAnsi="Arial" w:cs="Arial"/>
          <w:sz w:val="22"/>
          <w:szCs w:val="22"/>
        </w:rPr>
        <w:t xml:space="preserve">to processes driven by </w:t>
      </w:r>
      <w:r w:rsidR="000604BD">
        <w:rPr>
          <w:rFonts w:ascii="Arial" w:hAnsi="Arial" w:cs="Arial"/>
          <w:sz w:val="22"/>
          <w:szCs w:val="22"/>
        </w:rPr>
        <w:t xml:space="preserve">the Graduate School </w:t>
      </w:r>
      <w:r w:rsidR="00952401">
        <w:rPr>
          <w:rFonts w:ascii="Arial" w:hAnsi="Arial" w:cs="Arial"/>
          <w:sz w:val="22"/>
          <w:szCs w:val="22"/>
        </w:rPr>
        <w:t xml:space="preserve">were </w:t>
      </w:r>
      <w:r w:rsidR="00284DF7">
        <w:rPr>
          <w:rFonts w:ascii="Arial" w:hAnsi="Arial" w:cs="Arial"/>
          <w:sz w:val="22"/>
          <w:szCs w:val="22"/>
        </w:rPr>
        <w:t>positive</w:t>
      </w:r>
      <w:r w:rsidR="00952401">
        <w:rPr>
          <w:rFonts w:ascii="Arial" w:hAnsi="Arial" w:cs="Arial"/>
          <w:sz w:val="22"/>
          <w:szCs w:val="22"/>
        </w:rPr>
        <w:t xml:space="preserve">.  </w:t>
      </w:r>
    </w:p>
    <w:p w:rsidR="00A44019" w:rsidRDefault="00A44019">
      <w:pPr>
        <w:rPr>
          <w:rFonts w:ascii="Arial" w:hAnsi="Arial" w:cs="Arial"/>
          <w:b/>
          <w:i/>
          <w:sz w:val="22"/>
          <w:szCs w:val="22"/>
        </w:rPr>
      </w:pPr>
    </w:p>
    <w:p w:rsidR="00595E52" w:rsidRDefault="001E3127" w:rsidP="00A44019">
      <w:pPr>
        <w:rPr>
          <w:rFonts w:ascii="Arial" w:hAnsi="Arial" w:cs="Arial"/>
          <w:sz w:val="22"/>
          <w:szCs w:val="22"/>
        </w:rPr>
      </w:pPr>
      <w:r>
        <w:rPr>
          <w:rFonts w:ascii="Arial" w:hAnsi="Arial" w:cs="Arial"/>
          <w:b/>
          <w:i/>
          <w:sz w:val="22"/>
          <w:szCs w:val="22"/>
        </w:rPr>
        <w:t>Supervisor Training</w:t>
      </w:r>
    </w:p>
    <w:p w:rsidR="00190400" w:rsidRDefault="00A44019" w:rsidP="001E31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The Panel noted that</w:t>
      </w:r>
      <w:r w:rsidR="00095F22">
        <w:rPr>
          <w:rFonts w:ascii="Arial" w:hAnsi="Arial" w:cs="Arial"/>
          <w:sz w:val="22"/>
          <w:szCs w:val="22"/>
        </w:rPr>
        <w:t>,</w:t>
      </w:r>
      <w:r>
        <w:rPr>
          <w:rFonts w:ascii="Arial" w:hAnsi="Arial" w:cs="Arial"/>
          <w:sz w:val="22"/>
          <w:szCs w:val="22"/>
        </w:rPr>
        <w:t xml:space="preserve"> from the figures provided, attendance at supervisor training was low. </w:t>
      </w:r>
      <w:r w:rsidRPr="001E3127">
        <w:rPr>
          <w:rFonts w:ascii="Arial" w:hAnsi="Arial" w:cs="Arial"/>
          <w:sz w:val="22"/>
          <w:szCs w:val="22"/>
        </w:rPr>
        <w:t xml:space="preserve">Perceiving </w:t>
      </w:r>
      <w:r w:rsidR="00C752BA">
        <w:rPr>
          <w:rFonts w:ascii="Arial" w:hAnsi="Arial" w:cs="Arial"/>
          <w:sz w:val="22"/>
          <w:szCs w:val="22"/>
        </w:rPr>
        <w:t xml:space="preserve">a </w:t>
      </w:r>
      <w:r w:rsidRPr="001E3127">
        <w:rPr>
          <w:rFonts w:ascii="Arial" w:hAnsi="Arial" w:cs="Arial"/>
          <w:sz w:val="22"/>
          <w:szCs w:val="22"/>
        </w:rPr>
        <w:t xml:space="preserve">lack of interest and attendance at the </w:t>
      </w:r>
      <w:r w:rsidR="00095F22">
        <w:rPr>
          <w:rFonts w:ascii="Arial" w:hAnsi="Arial" w:cs="Arial"/>
          <w:sz w:val="22"/>
          <w:szCs w:val="22"/>
        </w:rPr>
        <w:t>generic</w:t>
      </w:r>
      <w:r w:rsidRPr="001E3127">
        <w:rPr>
          <w:rFonts w:ascii="Arial" w:hAnsi="Arial" w:cs="Arial"/>
          <w:sz w:val="22"/>
          <w:szCs w:val="22"/>
        </w:rPr>
        <w:t xml:space="preserve"> supervisor training</w:t>
      </w:r>
      <w:r w:rsidR="00C752BA">
        <w:rPr>
          <w:rFonts w:ascii="Arial" w:hAnsi="Arial" w:cs="Arial"/>
          <w:sz w:val="22"/>
          <w:szCs w:val="22"/>
        </w:rPr>
        <w:t xml:space="preserve"> which centres on </w:t>
      </w:r>
      <w:r w:rsidR="00C752BA" w:rsidRPr="001E3127">
        <w:rPr>
          <w:rFonts w:ascii="Arial" w:hAnsi="Arial" w:cs="Arial"/>
          <w:sz w:val="22"/>
          <w:szCs w:val="22"/>
        </w:rPr>
        <w:t xml:space="preserve">policy and information </w:t>
      </w:r>
      <w:r w:rsidR="00C752BA">
        <w:rPr>
          <w:rFonts w:ascii="Arial" w:hAnsi="Arial" w:cs="Arial"/>
          <w:sz w:val="22"/>
          <w:szCs w:val="22"/>
        </w:rPr>
        <w:t>dissemination</w:t>
      </w:r>
      <w:r w:rsidRPr="001E3127">
        <w:rPr>
          <w:rFonts w:ascii="Arial" w:hAnsi="Arial" w:cs="Arial"/>
          <w:sz w:val="22"/>
          <w:szCs w:val="22"/>
        </w:rPr>
        <w:t xml:space="preserve">, the Graduate School has tried to enhance provision by putting on a number of </w:t>
      </w:r>
      <w:r>
        <w:rPr>
          <w:rFonts w:ascii="Arial" w:hAnsi="Arial" w:cs="Arial"/>
          <w:sz w:val="22"/>
          <w:szCs w:val="22"/>
        </w:rPr>
        <w:t xml:space="preserve">lunchtime </w:t>
      </w:r>
      <w:r w:rsidRPr="001E3127">
        <w:rPr>
          <w:rFonts w:ascii="Arial" w:hAnsi="Arial" w:cs="Arial"/>
          <w:sz w:val="22"/>
          <w:szCs w:val="22"/>
        </w:rPr>
        <w:t xml:space="preserve">workshops </w:t>
      </w:r>
      <w:r w:rsidR="006D3DBF">
        <w:rPr>
          <w:rFonts w:ascii="Arial" w:hAnsi="Arial" w:cs="Arial"/>
          <w:sz w:val="22"/>
          <w:szCs w:val="22"/>
        </w:rPr>
        <w:t>on topics suggested</w:t>
      </w:r>
      <w:r>
        <w:rPr>
          <w:rFonts w:ascii="Arial" w:hAnsi="Arial" w:cs="Arial"/>
          <w:sz w:val="22"/>
          <w:szCs w:val="22"/>
        </w:rPr>
        <w:t xml:space="preserve"> by the PG Convenors</w:t>
      </w:r>
      <w:r w:rsidR="006D3DBF">
        <w:rPr>
          <w:rFonts w:ascii="Arial" w:hAnsi="Arial" w:cs="Arial"/>
          <w:sz w:val="22"/>
          <w:szCs w:val="22"/>
        </w:rPr>
        <w:t xml:space="preserve">. However, </w:t>
      </w:r>
      <w:r w:rsidRPr="001E3127">
        <w:rPr>
          <w:rFonts w:ascii="Arial" w:hAnsi="Arial" w:cs="Arial"/>
          <w:sz w:val="22"/>
          <w:szCs w:val="22"/>
        </w:rPr>
        <w:t>take up</w:t>
      </w:r>
      <w:r w:rsidR="00C752BA">
        <w:rPr>
          <w:rFonts w:ascii="Arial" w:hAnsi="Arial" w:cs="Arial"/>
          <w:sz w:val="22"/>
          <w:szCs w:val="22"/>
        </w:rPr>
        <w:t xml:space="preserve"> has been low</w:t>
      </w:r>
      <w:r w:rsidRPr="001E3127">
        <w:rPr>
          <w:rFonts w:ascii="Arial" w:hAnsi="Arial" w:cs="Arial"/>
          <w:sz w:val="22"/>
          <w:szCs w:val="22"/>
        </w:rPr>
        <w:t xml:space="preserve">. </w:t>
      </w:r>
      <w:r>
        <w:rPr>
          <w:rFonts w:ascii="Arial" w:hAnsi="Arial" w:cs="Arial"/>
          <w:sz w:val="22"/>
          <w:szCs w:val="22"/>
        </w:rPr>
        <w:t xml:space="preserve">The Dean has attended School meetings to provide some of the information provided to supervisors in the generic training course directly to staff in an effort to engage them. </w:t>
      </w:r>
      <w:r w:rsidR="00190400">
        <w:rPr>
          <w:rFonts w:ascii="Arial" w:hAnsi="Arial" w:cs="Arial"/>
          <w:sz w:val="22"/>
          <w:szCs w:val="22"/>
        </w:rPr>
        <w:t>She also noted that a number of the agenda with which staff are currently required to engage also entail training, such as participation in Athena Swan activities.</w:t>
      </w:r>
      <w:r w:rsidR="00095F22">
        <w:rPr>
          <w:rFonts w:ascii="Arial" w:hAnsi="Arial" w:cs="Arial"/>
          <w:sz w:val="22"/>
          <w:szCs w:val="22"/>
        </w:rPr>
        <w:t xml:space="preserve"> While the training numbers are low, she feels strongly that </w:t>
      </w:r>
      <w:r w:rsidR="00C752BA">
        <w:rPr>
          <w:rFonts w:ascii="Arial" w:hAnsi="Arial" w:cs="Arial"/>
          <w:sz w:val="22"/>
          <w:szCs w:val="22"/>
        </w:rPr>
        <w:t xml:space="preserve">supervisor </w:t>
      </w:r>
      <w:r w:rsidR="00095F22">
        <w:rPr>
          <w:rFonts w:ascii="Arial" w:hAnsi="Arial" w:cs="Arial"/>
          <w:sz w:val="22"/>
          <w:szCs w:val="22"/>
        </w:rPr>
        <w:t xml:space="preserve">training </w:t>
      </w:r>
      <w:r w:rsidR="00C752BA">
        <w:rPr>
          <w:rFonts w:ascii="Arial" w:hAnsi="Arial" w:cs="Arial"/>
          <w:sz w:val="22"/>
          <w:szCs w:val="22"/>
        </w:rPr>
        <w:t xml:space="preserve">should be focused on </w:t>
      </w:r>
      <w:r w:rsidR="00095F22">
        <w:rPr>
          <w:rFonts w:ascii="Arial" w:hAnsi="Arial" w:cs="Arial"/>
          <w:sz w:val="22"/>
          <w:szCs w:val="22"/>
        </w:rPr>
        <w:t xml:space="preserve">development and should provide more than </w:t>
      </w:r>
      <w:r w:rsidR="009C50AB">
        <w:rPr>
          <w:rFonts w:ascii="Arial" w:hAnsi="Arial" w:cs="Arial"/>
          <w:sz w:val="22"/>
          <w:szCs w:val="22"/>
        </w:rPr>
        <w:t>a</w:t>
      </w:r>
      <w:r w:rsidR="00095F22">
        <w:rPr>
          <w:rFonts w:ascii="Arial" w:hAnsi="Arial" w:cs="Arial"/>
          <w:sz w:val="22"/>
          <w:szCs w:val="22"/>
        </w:rPr>
        <w:t xml:space="preserve"> generic offering. </w:t>
      </w:r>
    </w:p>
    <w:p w:rsidR="00190400" w:rsidRDefault="00190400" w:rsidP="001E31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A44019" w:rsidRDefault="00A44019" w:rsidP="001E31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While the University Code of Practice states that supervisors must a</w:t>
      </w:r>
      <w:r w:rsidR="00190400">
        <w:rPr>
          <w:rFonts w:ascii="Arial" w:hAnsi="Arial" w:cs="Arial"/>
          <w:sz w:val="22"/>
          <w:szCs w:val="22"/>
        </w:rPr>
        <w:t xml:space="preserve">ttend a </w:t>
      </w:r>
      <w:r>
        <w:rPr>
          <w:rFonts w:ascii="Arial" w:hAnsi="Arial" w:cs="Arial"/>
          <w:sz w:val="22"/>
          <w:szCs w:val="22"/>
        </w:rPr>
        <w:t>training course every five years in order to continue</w:t>
      </w:r>
      <w:r w:rsidR="00190400">
        <w:rPr>
          <w:rFonts w:ascii="Arial" w:hAnsi="Arial" w:cs="Arial"/>
          <w:sz w:val="22"/>
          <w:szCs w:val="22"/>
        </w:rPr>
        <w:t xml:space="preserve"> supervising students, in practice this is difficult to manage and ensure that students aren’t left without support. The Dean suggested that an objective in the annual Performance and Development Review </w:t>
      </w:r>
      <w:r w:rsidR="009C50AB">
        <w:rPr>
          <w:rFonts w:ascii="Arial" w:hAnsi="Arial" w:cs="Arial"/>
          <w:sz w:val="22"/>
          <w:szCs w:val="22"/>
        </w:rPr>
        <w:t>process</w:t>
      </w:r>
      <w:r w:rsidR="00406898">
        <w:rPr>
          <w:rFonts w:ascii="Arial" w:hAnsi="Arial" w:cs="Arial"/>
          <w:sz w:val="22"/>
          <w:szCs w:val="22"/>
        </w:rPr>
        <w:t xml:space="preserve"> </w:t>
      </w:r>
      <w:r w:rsidR="00190400">
        <w:rPr>
          <w:rFonts w:ascii="Arial" w:hAnsi="Arial" w:cs="Arial"/>
          <w:sz w:val="22"/>
          <w:szCs w:val="22"/>
        </w:rPr>
        <w:t>might assist with highlighting that this activity is important by requiring that it is formally.</w:t>
      </w:r>
      <w:r w:rsidR="00095F22">
        <w:rPr>
          <w:rFonts w:ascii="Arial" w:hAnsi="Arial" w:cs="Arial"/>
          <w:sz w:val="22"/>
          <w:szCs w:val="22"/>
        </w:rPr>
        <w:t xml:space="preserve"> It might also be useful to have senior staff, such as the VP (Research), visibly engage in training</w:t>
      </w:r>
      <w:r w:rsidR="00503C0C">
        <w:rPr>
          <w:rFonts w:ascii="Arial" w:hAnsi="Arial" w:cs="Arial"/>
          <w:sz w:val="22"/>
          <w:szCs w:val="22"/>
        </w:rPr>
        <w:t xml:space="preserve"> as an example to other staff </w:t>
      </w:r>
      <w:r w:rsidR="00C752BA">
        <w:rPr>
          <w:rFonts w:ascii="Arial" w:hAnsi="Arial" w:cs="Arial"/>
          <w:sz w:val="22"/>
          <w:szCs w:val="22"/>
        </w:rPr>
        <w:t xml:space="preserve">of </w:t>
      </w:r>
      <w:r w:rsidR="00503C0C">
        <w:rPr>
          <w:rFonts w:ascii="Arial" w:hAnsi="Arial" w:cs="Arial"/>
          <w:sz w:val="22"/>
          <w:szCs w:val="22"/>
        </w:rPr>
        <w:t xml:space="preserve">how the institution </w:t>
      </w:r>
      <w:r w:rsidR="00C752BA">
        <w:rPr>
          <w:rFonts w:ascii="Arial" w:hAnsi="Arial" w:cs="Arial"/>
          <w:sz w:val="22"/>
          <w:szCs w:val="22"/>
        </w:rPr>
        <w:t xml:space="preserve">values </w:t>
      </w:r>
      <w:r w:rsidR="00503C0C">
        <w:rPr>
          <w:rFonts w:ascii="Arial" w:hAnsi="Arial" w:cs="Arial"/>
          <w:sz w:val="22"/>
          <w:szCs w:val="22"/>
        </w:rPr>
        <w:t>this sort of development.</w:t>
      </w:r>
    </w:p>
    <w:p w:rsidR="00A44019" w:rsidRDefault="00A44019" w:rsidP="001E31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595E52" w:rsidRDefault="00566542" w:rsidP="001E31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Students were asked what they would like the Graduate School to do more of – and their response was that they would like to see supervisors have more training on things like providing constructive feedback, managing expectations, communication skills and promoting wellbeing and work life balance.</w:t>
      </w:r>
      <w:r w:rsidR="00C752BA">
        <w:rPr>
          <w:rFonts w:ascii="Arial" w:hAnsi="Arial" w:cs="Arial"/>
          <w:sz w:val="22"/>
          <w:szCs w:val="22"/>
        </w:rPr>
        <w:t xml:space="preserve"> </w:t>
      </w:r>
      <w:r w:rsidR="00595E52">
        <w:rPr>
          <w:rFonts w:ascii="Arial" w:hAnsi="Arial" w:cs="Arial"/>
          <w:sz w:val="22"/>
          <w:szCs w:val="22"/>
        </w:rPr>
        <w:t xml:space="preserve">Supervisors were asked what training </w:t>
      </w:r>
      <w:r w:rsidR="00C752BA">
        <w:rPr>
          <w:rFonts w:ascii="Arial" w:hAnsi="Arial" w:cs="Arial"/>
          <w:sz w:val="22"/>
          <w:szCs w:val="22"/>
        </w:rPr>
        <w:t xml:space="preserve">they </w:t>
      </w:r>
      <w:r w:rsidR="00595E52">
        <w:rPr>
          <w:rFonts w:ascii="Arial" w:hAnsi="Arial" w:cs="Arial"/>
          <w:sz w:val="22"/>
          <w:szCs w:val="22"/>
        </w:rPr>
        <w:t xml:space="preserve">might </w:t>
      </w:r>
      <w:r w:rsidR="00595E52">
        <w:rPr>
          <w:rFonts w:ascii="Arial" w:hAnsi="Arial" w:cs="Arial"/>
          <w:sz w:val="22"/>
          <w:szCs w:val="22"/>
        </w:rPr>
        <w:lastRenderedPageBreak/>
        <w:t xml:space="preserve">like </w:t>
      </w:r>
      <w:r w:rsidR="00095F22">
        <w:rPr>
          <w:rFonts w:ascii="Arial" w:hAnsi="Arial" w:cs="Arial"/>
          <w:sz w:val="22"/>
          <w:szCs w:val="22"/>
        </w:rPr>
        <w:t xml:space="preserve">and their replies suggested that </w:t>
      </w:r>
      <w:r w:rsidR="00406898">
        <w:rPr>
          <w:rFonts w:ascii="Arial" w:hAnsi="Arial" w:cs="Arial"/>
          <w:sz w:val="22"/>
          <w:szCs w:val="22"/>
        </w:rPr>
        <w:t xml:space="preserve">much of </w:t>
      </w:r>
      <w:r w:rsidR="00095F22">
        <w:rPr>
          <w:rFonts w:ascii="Arial" w:hAnsi="Arial" w:cs="Arial"/>
          <w:sz w:val="22"/>
          <w:szCs w:val="22"/>
        </w:rPr>
        <w:t xml:space="preserve">what they would find useful is already on offer. </w:t>
      </w:r>
      <w:r w:rsidR="00952401">
        <w:rPr>
          <w:rFonts w:ascii="Arial" w:hAnsi="Arial" w:cs="Arial"/>
          <w:sz w:val="22"/>
          <w:szCs w:val="22"/>
        </w:rPr>
        <w:t>The</w:t>
      </w:r>
      <w:r w:rsidR="00C752BA">
        <w:rPr>
          <w:rFonts w:ascii="Arial" w:hAnsi="Arial" w:cs="Arial"/>
          <w:sz w:val="22"/>
          <w:szCs w:val="22"/>
        </w:rPr>
        <w:t>y</w:t>
      </w:r>
      <w:r w:rsidR="00952401">
        <w:rPr>
          <w:rFonts w:ascii="Arial" w:hAnsi="Arial" w:cs="Arial"/>
          <w:sz w:val="22"/>
          <w:szCs w:val="22"/>
        </w:rPr>
        <w:t xml:space="preserve"> specifically </w:t>
      </w:r>
      <w:r w:rsidR="00C752BA">
        <w:rPr>
          <w:rFonts w:ascii="Arial" w:hAnsi="Arial" w:cs="Arial"/>
          <w:sz w:val="22"/>
          <w:szCs w:val="22"/>
        </w:rPr>
        <w:t xml:space="preserve">mentioned </w:t>
      </w:r>
      <w:r w:rsidR="00952401">
        <w:rPr>
          <w:rFonts w:ascii="Arial" w:hAnsi="Arial" w:cs="Arial"/>
          <w:sz w:val="22"/>
          <w:szCs w:val="22"/>
        </w:rPr>
        <w:t xml:space="preserve">desiring training around creating communities and cohorts, improved communication, </w:t>
      </w:r>
      <w:r w:rsidR="00C752BA">
        <w:rPr>
          <w:rFonts w:ascii="Arial" w:hAnsi="Arial" w:cs="Arial"/>
          <w:sz w:val="22"/>
          <w:szCs w:val="22"/>
        </w:rPr>
        <w:t xml:space="preserve">effective management and </w:t>
      </w:r>
      <w:r w:rsidR="00952401">
        <w:rPr>
          <w:rFonts w:ascii="Arial" w:hAnsi="Arial" w:cs="Arial"/>
          <w:sz w:val="22"/>
          <w:szCs w:val="22"/>
        </w:rPr>
        <w:t>supporting students to improve time management or wellbeing</w:t>
      </w:r>
      <w:r w:rsidR="00766A4B">
        <w:rPr>
          <w:rFonts w:ascii="Arial" w:hAnsi="Arial" w:cs="Arial"/>
          <w:sz w:val="22"/>
          <w:szCs w:val="22"/>
        </w:rPr>
        <w:t>.</w:t>
      </w:r>
      <w:r w:rsidR="00952401">
        <w:rPr>
          <w:rFonts w:ascii="Arial" w:hAnsi="Arial" w:cs="Arial"/>
          <w:sz w:val="22"/>
          <w:szCs w:val="22"/>
        </w:rPr>
        <w:t xml:space="preserve"> </w:t>
      </w:r>
      <w:r w:rsidR="00095F22">
        <w:rPr>
          <w:rFonts w:ascii="Arial" w:hAnsi="Arial" w:cs="Arial"/>
          <w:sz w:val="22"/>
          <w:szCs w:val="22"/>
        </w:rPr>
        <w:t>Staff ho</w:t>
      </w:r>
      <w:r w:rsidR="00952401">
        <w:rPr>
          <w:rFonts w:ascii="Arial" w:hAnsi="Arial" w:cs="Arial"/>
          <w:sz w:val="22"/>
          <w:szCs w:val="22"/>
        </w:rPr>
        <w:t xml:space="preserve">wever are </w:t>
      </w:r>
      <w:r w:rsidR="00766A4B">
        <w:rPr>
          <w:rFonts w:ascii="Arial" w:hAnsi="Arial" w:cs="Arial"/>
          <w:sz w:val="22"/>
          <w:szCs w:val="22"/>
        </w:rPr>
        <w:t xml:space="preserve">still </w:t>
      </w:r>
      <w:r w:rsidR="00952401">
        <w:rPr>
          <w:rFonts w:ascii="Arial" w:hAnsi="Arial" w:cs="Arial"/>
          <w:sz w:val="22"/>
          <w:szCs w:val="22"/>
        </w:rPr>
        <w:t xml:space="preserve">reluctant to engage and some </w:t>
      </w:r>
      <w:r w:rsidR="00766A4B">
        <w:rPr>
          <w:rFonts w:ascii="Arial" w:hAnsi="Arial" w:cs="Arial"/>
          <w:sz w:val="22"/>
          <w:szCs w:val="22"/>
        </w:rPr>
        <w:t xml:space="preserve">noted that they would prefer to have no </w:t>
      </w:r>
      <w:r w:rsidR="00952401">
        <w:rPr>
          <w:rFonts w:ascii="Arial" w:hAnsi="Arial" w:cs="Arial"/>
          <w:sz w:val="22"/>
          <w:szCs w:val="22"/>
        </w:rPr>
        <w:t>training</w:t>
      </w:r>
      <w:r w:rsidR="00766A4B">
        <w:rPr>
          <w:rFonts w:ascii="Arial" w:hAnsi="Arial" w:cs="Arial"/>
          <w:sz w:val="22"/>
          <w:szCs w:val="22"/>
        </w:rPr>
        <w:t xml:space="preserve"> at all</w:t>
      </w:r>
      <w:r w:rsidR="00952401">
        <w:rPr>
          <w:rFonts w:ascii="Arial" w:hAnsi="Arial" w:cs="Arial"/>
          <w:sz w:val="22"/>
          <w:szCs w:val="22"/>
        </w:rPr>
        <w:t xml:space="preserve">, at least in this context.  </w:t>
      </w:r>
      <w:r w:rsidR="00766A4B">
        <w:rPr>
          <w:rFonts w:ascii="Arial" w:hAnsi="Arial" w:cs="Arial"/>
          <w:sz w:val="22"/>
          <w:szCs w:val="22"/>
        </w:rPr>
        <w:t xml:space="preserve">Some felt that increased </w:t>
      </w:r>
      <w:r w:rsidR="00C752BA">
        <w:rPr>
          <w:rFonts w:ascii="Arial" w:hAnsi="Arial" w:cs="Arial"/>
          <w:sz w:val="22"/>
          <w:szCs w:val="22"/>
        </w:rPr>
        <w:t>development opportunities</w:t>
      </w:r>
      <w:r w:rsidR="00766A4B">
        <w:rPr>
          <w:rFonts w:ascii="Arial" w:hAnsi="Arial" w:cs="Arial"/>
          <w:sz w:val="22"/>
          <w:szCs w:val="22"/>
        </w:rPr>
        <w:t xml:space="preserve"> </w:t>
      </w:r>
      <w:r w:rsidR="00C752BA">
        <w:rPr>
          <w:rFonts w:ascii="Arial" w:hAnsi="Arial" w:cs="Arial"/>
          <w:sz w:val="22"/>
          <w:szCs w:val="22"/>
        </w:rPr>
        <w:t xml:space="preserve">that allowed staff to share experiences and build support </w:t>
      </w:r>
      <w:r w:rsidR="00766A4B">
        <w:rPr>
          <w:rFonts w:ascii="Arial" w:hAnsi="Arial" w:cs="Arial"/>
          <w:sz w:val="22"/>
          <w:szCs w:val="22"/>
        </w:rPr>
        <w:t>rather than ‘training courses’ might be beneficial. They also noted that they didn’t feel that their development was valued and t</w:t>
      </w:r>
      <w:r w:rsidR="00406898">
        <w:rPr>
          <w:rFonts w:ascii="Arial" w:hAnsi="Arial" w:cs="Arial"/>
          <w:sz w:val="22"/>
          <w:szCs w:val="22"/>
        </w:rPr>
        <w:t>aking courses that don’t relate</w:t>
      </w:r>
      <w:r w:rsidR="00766A4B">
        <w:rPr>
          <w:rFonts w:ascii="Arial" w:hAnsi="Arial" w:cs="Arial"/>
          <w:sz w:val="22"/>
          <w:szCs w:val="22"/>
        </w:rPr>
        <w:t xml:space="preserve"> to the kind of measurement that universities apply to staff didn’t seem useful or supportive.  </w:t>
      </w:r>
    </w:p>
    <w:p w:rsidR="00DB2C06" w:rsidRPr="001E3127" w:rsidRDefault="00DB2C06">
      <w:pPr>
        <w:rPr>
          <w:rFonts w:ascii="Arial" w:hAnsi="Arial" w:cs="Arial"/>
          <w:sz w:val="22"/>
          <w:szCs w:val="22"/>
        </w:rPr>
      </w:pPr>
    </w:p>
    <w:p w:rsidR="00670091" w:rsidRDefault="001E3127">
      <w:pPr>
        <w:rPr>
          <w:rFonts w:ascii="Arial" w:hAnsi="Arial" w:cs="Arial"/>
          <w:b/>
          <w:i/>
          <w:sz w:val="22"/>
          <w:szCs w:val="22"/>
        </w:rPr>
      </w:pPr>
      <w:r>
        <w:rPr>
          <w:rFonts w:ascii="Arial" w:hAnsi="Arial" w:cs="Arial"/>
          <w:b/>
          <w:i/>
          <w:sz w:val="22"/>
          <w:szCs w:val="22"/>
        </w:rPr>
        <w:t>Role of the Graduate School</w:t>
      </w:r>
    </w:p>
    <w:p w:rsidR="001E3127" w:rsidRDefault="009C50AB" w:rsidP="00595E52">
      <w:pPr>
        <w:pStyle w:val="NoSpacing"/>
      </w:pPr>
      <w:r>
        <w:t>The Graduate School</w:t>
      </w:r>
      <w:r w:rsidR="00D41C3C" w:rsidRPr="00D41C3C">
        <w:t xml:space="preserve"> serves 7 Schools and one joint Research Institute shared with another College</w:t>
      </w:r>
      <w:r w:rsidR="00D41C3C">
        <w:t xml:space="preserve">. </w:t>
      </w:r>
      <w:r w:rsidR="00D41C3C" w:rsidRPr="00D41C3C">
        <w:t xml:space="preserve">This is a large and diverse population for a small team to serve. There </w:t>
      </w:r>
      <w:r w:rsidR="00406898">
        <w:t>are</w:t>
      </w:r>
      <w:r>
        <w:t xml:space="preserve"> </w:t>
      </w:r>
      <w:r w:rsidR="006E56C4">
        <w:t>currently over</w:t>
      </w:r>
      <w:r w:rsidR="00D41C3C" w:rsidRPr="00D41C3C">
        <w:t xml:space="preserve"> 775 full or part time students and another 215 students who are thesis pending. </w:t>
      </w:r>
      <w:r w:rsidR="001E3127">
        <w:t xml:space="preserve">The Graduate School has a wide range of responsibilities, </w:t>
      </w:r>
      <w:r w:rsidR="00F80990">
        <w:t xml:space="preserve">both administrative and strategic, </w:t>
      </w:r>
      <w:r w:rsidR="001E3127">
        <w:t xml:space="preserve">including pastoral support for students, </w:t>
      </w:r>
      <w:r w:rsidR="00104806">
        <w:t xml:space="preserve">operational </w:t>
      </w:r>
      <w:r w:rsidR="00F80990">
        <w:t>and financial</w:t>
      </w:r>
      <w:r w:rsidR="00104806">
        <w:t xml:space="preserve"> </w:t>
      </w:r>
      <w:r w:rsidR="001E3127">
        <w:t>management</w:t>
      </w:r>
      <w:r w:rsidR="00104806">
        <w:t xml:space="preserve">, </w:t>
      </w:r>
      <w:r w:rsidR="00F80990">
        <w:t>recruitment and marketing,</w:t>
      </w:r>
      <w:r w:rsidR="001E3127">
        <w:t xml:space="preserve"> community building</w:t>
      </w:r>
      <w:r w:rsidR="00F80990">
        <w:t>,</w:t>
      </w:r>
      <w:r w:rsidR="001E3127">
        <w:t xml:space="preserve"> </w:t>
      </w:r>
      <w:r w:rsidR="00F80990">
        <w:t xml:space="preserve">supporting and developing </w:t>
      </w:r>
      <w:r w:rsidR="001E3127">
        <w:t>the Strategic Advisory Board</w:t>
      </w:r>
      <w:r w:rsidR="00F80990">
        <w:t xml:space="preserve">, participating </w:t>
      </w:r>
      <w:r w:rsidR="00406898">
        <w:t xml:space="preserve">in </w:t>
      </w:r>
      <w:r w:rsidR="00F80990">
        <w:t xml:space="preserve">strategic </w:t>
      </w:r>
      <w:r w:rsidR="00406898">
        <w:t xml:space="preserve">thinking and </w:t>
      </w:r>
      <w:r w:rsidR="00F80990">
        <w:t>planning within the College, industry engagement</w:t>
      </w:r>
      <w:r w:rsidR="001E3127">
        <w:t xml:space="preserve"> and </w:t>
      </w:r>
      <w:r w:rsidR="0063188D">
        <w:t>funder engagement</w:t>
      </w:r>
      <w:r w:rsidR="001E3127">
        <w:t>.</w:t>
      </w:r>
      <w:r w:rsidR="00104806">
        <w:t xml:space="preserve"> </w:t>
      </w:r>
      <w:r w:rsidR="003B3282">
        <w:t>This also includes working with other Graduate Schools</w:t>
      </w:r>
      <w:r w:rsidR="00C752BA">
        <w:t xml:space="preserve"> </w:t>
      </w:r>
      <w:r w:rsidR="003B3282">
        <w:t>on shared activities, such as linking with industry partners an</w:t>
      </w:r>
      <w:r w:rsidR="0063188D">
        <w:t>d developing proposals for CDTs or training.</w:t>
      </w:r>
    </w:p>
    <w:p w:rsidR="00595E52" w:rsidRPr="00D41C3C" w:rsidRDefault="00595E52" w:rsidP="00D41C3C">
      <w:pPr>
        <w:pStyle w:val="NoSpacing"/>
      </w:pPr>
    </w:p>
    <w:p w:rsidR="00D41C3C" w:rsidRPr="00D41C3C" w:rsidRDefault="00595E52" w:rsidP="00D41C3C">
      <w:pPr>
        <w:pStyle w:val="NoSpacing"/>
      </w:pPr>
      <w:r w:rsidRPr="00D41C3C">
        <w:t xml:space="preserve">While </w:t>
      </w:r>
      <w:r w:rsidR="00C752BA" w:rsidRPr="00D41C3C">
        <w:t>the Dean and Graduate School Manager</w:t>
      </w:r>
      <w:r w:rsidRPr="00D41C3C">
        <w:t xml:space="preserve"> are very </w:t>
      </w:r>
      <w:r w:rsidR="00D41C3C">
        <w:t>visibl</w:t>
      </w:r>
      <w:r w:rsidR="00406898">
        <w:t>e</w:t>
      </w:r>
      <w:r w:rsidR="00D41C3C">
        <w:t xml:space="preserve"> to their community and very </w:t>
      </w:r>
      <w:r w:rsidRPr="00D41C3C">
        <w:t>highly regarded</w:t>
      </w:r>
      <w:r w:rsidR="00533182" w:rsidRPr="00D41C3C">
        <w:t xml:space="preserve"> by both staff and students</w:t>
      </w:r>
      <w:r w:rsidR="00406898">
        <w:t xml:space="preserve"> for their helpfulness and responsiveness</w:t>
      </w:r>
      <w:r w:rsidRPr="00D41C3C">
        <w:t xml:space="preserve">, the Panel questioned whether the burden of pastoral support was too concentrated on </w:t>
      </w:r>
      <w:r w:rsidR="00C752BA" w:rsidRPr="00D41C3C">
        <w:t>these</w:t>
      </w:r>
      <w:r w:rsidR="00533182" w:rsidRPr="00D41C3C">
        <w:t xml:space="preserve"> </w:t>
      </w:r>
      <w:r w:rsidRPr="00D41C3C">
        <w:t>key staff members and why it wasn’t shared more with the Schools. There was a concern that this interfered in their ability to undertake other activities</w:t>
      </w:r>
      <w:r w:rsidR="00533182" w:rsidRPr="00D41C3C">
        <w:t xml:space="preserve">. </w:t>
      </w:r>
      <w:r w:rsidR="00D41C3C" w:rsidRPr="00D41C3C">
        <w:t>PG Convenors and student representatives should take on some of this activity but it seemed that the Convenor role varied by School and that student representatives were not always very visible to students.</w:t>
      </w:r>
    </w:p>
    <w:p w:rsidR="00D41C3C" w:rsidRPr="00D41C3C" w:rsidRDefault="00D41C3C" w:rsidP="00D41C3C">
      <w:pPr>
        <w:pStyle w:val="NoSpacing"/>
      </w:pPr>
    </w:p>
    <w:p w:rsidR="00595E52" w:rsidRPr="00595E52" w:rsidRDefault="00533182" w:rsidP="00D41C3C">
      <w:pPr>
        <w:pStyle w:val="NoSpacing"/>
      </w:pPr>
      <w:r w:rsidRPr="00D41C3C">
        <w:t>T</w:t>
      </w:r>
      <w:r w:rsidR="00D41C3C">
        <w:t>he</w:t>
      </w:r>
      <w:r w:rsidR="00406898">
        <w:t xml:space="preserve"> GS</w:t>
      </w:r>
      <w:r>
        <w:t xml:space="preserve"> noted in their SEQ that they are stretched in terms of workload and that with more staff</w:t>
      </w:r>
      <w:r w:rsidR="00D41C3C">
        <w:t>,</w:t>
      </w:r>
      <w:r>
        <w:t xml:space="preserve"> more could be achieved. </w:t>
      </w:r>
      <w:r w:rsidR="006D3DBF">
        <w:t>The Panel felt that some support from elsewhere, such as improved access to data from the Planning and Business Intelligence team, might free up time for the Graduate School Manager. The Graduate School felt strongly that additio</w:t>
      </w:r>
      <w:r w:rsidR="00D41C3C">
        <w:t>nal resource would help them to</w:t>
      </w:r>
      <w:r w:rsidR="006D3DBF">
        <w:t xml:space="preserve"> maintain their visibility and active support for their community while still being able to </w:t>
      </w:r>
      <w:r>
        <w:t xml:space="preserve">move </w:t>
      </w:r>
      <w:r w:rsidR="006D3DBF">
        <w:t xml:space="preserve">forward </w:t>
      </w:r>
      <w:r>
        <w:t xml:space="preserve">with </w:t>
      </w:r>
      <w:r w:rsidR="006D3DBF">
        <w:t xml:space="preserve">their strategic aims. </w:t>
      </w:r>
    </w:p>
    <w:p w:rsidR="00595E52" w:rsidRDefault="00595E52" w:rsidP="001E31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p>
    <w:p w:rsidR="006044E6" w:rsidRDefault="006044E6" w:rsidP="001E31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sz w:val="22"/>
          <w:szCs w:val="22"/>
        </w:rPr>
        <w:t>Students, broadly, see the Graduate School as support for non-academic matters or problems and a resource for training courses</w:t>
      </w:r>
      <w:r w:rsidR="00406898">
        <w:rPr>
          <w:rFonts w:ascii="Arial" w:hAnsi="Arial" w:cs="Arial"/>
          <w:sz w:val="22"/>
          <w:szCs w:val="22"/>
        </w:rPr>
        <w:t xml:space="preserve"> and</w:t>
      </w:r>
      <w:r>
        <w:rPr>
          <w:rFonts w:ascii="Arial" w:hAnsi="Arial" w:cs="Arial"/>
          <w:sz w:val="22"/>
          <w:szCs w:val="22"/>
        </w:rPr>
        <w:t xml:space="preserve"> mobility or funding opportunities. They acknowledge that they have a sense that the Graduate School probably does </w:t>
      </w:r>
      <w:r w:rsidR="00406898">
        <w:rPr>
          <w:rFonts w:ascii="Arial" w:hAnsi="Arial" w:cs="Arial"/>
          <w:sz w:val="22"/>
          <w:szCs w:val="22"/>
        </w:rPr>
        <w:t xml:space="preserve">much </w:t>
      </w:r>
      <w:r>
        <w:rPr>
          <w:rFonts w:ascii="Arial" w:hAnsi="Arial" w:cs="Arial"/>
          <w:sz w:val="22"/>
          <w:szCs w:val="22"/>
        </w:rPr>
        <w:t xml:space="preserve">more than they know about. Feedback about the overall training programme was </w:t>
      </w:r>
      <w:r w:rsidR="00B81E4C">
        <w:rPr>
          <w:rFonts w:ascii="Arial" w:hAnsi="Arial" w:cs="Arial"/>
          <w:sz w:val="22"/>
          <w:szCs w:val="22"/>
        </w:rPr>
        <w:t xml:space="preserve">quite positive and they </w:t>
      </w:r>
      <w:r>
        <w:rPr>
          <w:rFonts w:ascii="Arial" w:hAnsi="Arial" w:cs="Arial"/>
          <w:sz w:val="22"/>
          <w:szCs w:val="22"/>
        </w:rPr>
        <w:t xml:space="preserve">feel the courses are worthwhile and that the </w:t>
      </w:r>
      <w:r w:rsidR="008D79E5">
        <w:rPr>
          <w:rFonts w:ascii="Arial" w:hAnsi="Arial" w:cs="Arial"/>
          <w:sz w:val="22"/>
          <w:szCs w:val="22"/>
        </w:rPr>
        <w:t xml:space="preserve">credit </w:t>
      </w:r>
      <w:r>
        <w:rPr>
          <w:rFonts w:ascii="Arial" w:hAnsi="Arial" w:cs="Arial"/>
          <w:sz w:val="22"/>
          <w:szCs w:val="22"/>
        </w:rPr>
        <w:t xml:space="preserve">requirements aren’t too onerous. </w:t>
      </w:r>
      <w:r w:rsidR="00B81E4C">
        <w:rPr>
          <w:rFonts w:ascii="Arial" w:hAnsi="Arial" w:cs="Arial"/>
          <w:sz w:val="22"/>
          <w:szCs w:val="22"/>
        </w:rPr>
        <w:t>Staff shared these views and generally felt that the contributions of the Graduate School to the training programme and to the overall community of students were valuable.</w:t>
      </w:r>
      <w:r w:rsidR="008D79E5">
        <w:rPr>
          <w:rFonts w:ascii="Arial" w:hAnsi="Arial" w:cs="Arial"/>
          <w:sz w:val="22"/>
          <w:szCs w:val="22"/>
        </w:rPr>
        <w:t xml:space="preserve">  </w:t>
      </w:r>
    </w:p>
    <w:p w:rsidR="00503C0C" w:rsidRPr="00503C0C" w:rsidRDefault="00503C0C" w:rsidP="00670091">
      <w:pPr>
        <w:pStyle w:val="NoSpacing"/>
        <w:rPr>
          <w:rFonts w:cs="Arial"/>
          <w:szCs w:val="22"/>
        </w:rPr>
      </w:pPr>
    </w:p>
    <w:p w:rsidR="00E94EAC" w:rsidRDefault="00E94EA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sz w:val="22"/>
          <w:szCs w:val="22"/>
        </w:rPr>
      </w:pPr>
      <w:r>
        <w:rPr>
          <w:rFonts w:ascii="Arial" w:hAnsi="Arial" w:cs="Arial"/>
          <w:b/>
          <w:sz w:val="22"/>
          <w:szCs w:val="22"/>
        </w:rPr>
        <w:br w:type="page"/>
      </w:r>
    </w:p>
    <w:p w:rsidR="00670091" w:rsidRDefault="006E56C4" w:rsidP="00A82B6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sz w:val="22"/>
          <w:szCs w:val="22"/>
        </w:rPr>
      </w:pPr>
      <w:r>
        <w:rPr>
          <w:rFonts w:ascii="Arial" w:hAnsi="Arial" w:cs="Arial"/>
          <w:b/>
          <w:sz w:val="22"/>
          <w:szCs w:val="22"/>
        </w:rPr>
        <w:lastRenderedPageBreak/>
        <w:t xml:space="preserve">Commendations and </w:t>
      </w:r>
      <w:r w:rsidR="00406898">
        <w:rPr>
          <w:rFonts w:ascii="Arial" w:hAnsi="Arial" w:cs="Arial"/>
          <w:b/>
          <w:sz w:val="22"/>
          <w:szCs w:val="22"/>
        </w:rPr>
        <w:t xml:space="preserve">Recommendations </w:t>
      </w:r>
    </w:p>
    <w:p w:rsidR="006E56C4" w:rsidRDefault="006E56C4" w:rsidP="00A82B6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i/>
          <w:sz w:val="22"/>
          <w:szCs w:val="22"/>
        </w:rPr>
      </w:pPr>
      <w:r>
        <w:rPr>
          <w:rFonts w:ascii="Arial" w:hAnsi="Arial" w:cs="Arial"/>
          <w:b/>
          <w:i/>
          <w:sz w:val="22"/>
          <w:szCs w:val="22"/>
        </w:rPr>
        <w:t>Commendations</w:t>
      </w:r>
    </w:p>
    <w:tbl>
      <w:tblPr>
        <w:tblStyle w:val="TableGrid"/>
        <w:tblW w:w="5000" w:type="pct"/>
        <w:tblLook w:val="04A0" w:firstRow="1" w:lastRow="0" w:firstColumn="1" w:lastColumn="0" w:noHBand="0" w:noVBand="1"/>
      </w:tblPr>
      <w:tblGrid>
        <w:gridCol w:w="644"/>
        <w:gridCol w:w="8372"/>
      </w:tblGrid>
      <w:tr w:rsidR="006E56C4" w:rsidRPr="009959D8" w:rsidTr="00C94831">
        <w:tc>
          <w:tcPr>
            <w:tcW w:w="357" w:type="pct"/>
          </w:tcPr>
          <w:p w:rsidR="006E56C4" w:rsidRPr="00355B3E" w:rsidRDefault="006E56C4" w:rsidP="000D7021">
            <w:pPr>
              <w:spacing w:after="120"/>
              <w:rPr>
                <w:rFonts w:ascii="Arial" w:hAnsi="Arial" w:cs="Arial"/>
                <w:b/>
                <w:sz w:val="22"/>
                <w:szCs w:val="22"/>
              </w:rPr>
            </w:pPr>
            <w:r w:rsidRPr="00355B3E">
              <w:rPr>
                <w:rFonts w:ascii="Arial" w:hAnsi="Arial" w:cs="Arial"/>
                <w:b/>
                <w:sz w:val="22"/>
                <w:szCs w:val="22"/>
              </w:rPr>
              <w:t>No.</w:t>
            </w:r>
          </w:p>
        </w:tc>
        <w:tc>
          <w:tcPr>
            <w:tcW w:w="4643" w:type="pct"/>
          </w:tcPr>
          <w:p w:rsidR="006E56C4" w:rsidRPr="00355B3E" w:rsidRDefault="006E56C4" w:rsidP="000D7021">
            <w:pPr>
              <w:spacing w:after="120"/>
              <w:rPr>
                <w:rFonts w:ascii="Arial" w:hAnsi="Arial" w:cs="Arial"/>
                <w:b/>
                <w:sz w:val="22"/>
                <w:szCs w:val="22"/>
              </w:rPr>
            </w:pPr>
          </w:p>
        </w:tc>
      </w:tr>
      <w:tr w:rsidR="006E56C4" w:rsidRPr="009959D8" w:rsidTr="00C94831">
        <w:tc>
          <w:tcPr>
            <w:tcW w:w="357" w:type="pct"/>
          </w:tcPr>
          <w:p w:rsidR="006E56C4" w:rsidRPr="00355B3E" w:rsidRDefault="006E56C4" w:rsidP="000D7021">
            <w:pPr>
              <w:spacing w:after="120"/>
              <w:rPr>
                <w:rFonts w:ascii="Arial" w:hAnsi="Arial" w:cs="Arial"/>
                <w:b/>
                <w:sz w:val="22"/>
                <w:szCs w:val="22"/>
              </w:rPr>
            </w:pPr>
            <w:r w:rsidRPr="00355B3E">
              <w:rPr>
                <w:rFonts w:ascii="Arial" w:hAnsi="Arial" w:cs="Arial"/>
                <w:b/>
                <w:sz w:val="22"/>
                <w:szCs w:val="22"/>
              </w:rPr>
              <w:t>1.</w:t>
            </w:r>
          </w:p>
        </w:tc>
        <w:tc>
          <w:tcPr>
            <w:tcW w:w="4643" w:type="pct"/>
          </w:tcPr>
          <w:p w:rsidR="000D7021" w:rsidRPr="000D7021" w:rsidRDefault="00355B3E" w:rsidP="000D7021">
            <w:pPr>
              <w:spacing w:after="120"/>
              <w:rPr>
                <w:rFonts w:ascii="Arial" w:hAnsi="Arial" w:cs="Arial"/>
                <w:sz w:val="22"/>
                <w:szCs w:val="22"/>
              </w:rPr>
            </w:pPr>
            <w:r w:rsidRPr="000D7021">
              <w:rPr>
                <w:rFonts w:ascii="Arial" w:hAnsi="Arial" w:cs="Arial"/>
                <w:sz w:val="22"/>
                <w:szCs w:val="22"/>
              </w:rPr>
              <w:t xml:space="preserve">The Panel would like to commend the Graduate School for their efforts to develop enhanced development opportunities for supervisors.  </w:t>
            </w:r>
          </w:p>
        </w:tc>
      </w:tr>
      <w:tr w:rsidR="006E56C4" w:rsidRPr="009959D8" w:rsidTr="00C94831">
        <w:tc>
          <w:tcPr>
            <w:tcW w:w="357" w:type="pct"/>
          </w:tcPr>
          <w:p w:rsidR="006E56C4" w:rsidRPr="00355B3E" w:rsidRDefault="006E56C4" w:rsidP="000D7021">
            <w:pPr>
              <w:spacing w:after="120"/>
              <w:rPr>
                <w:rFonts w:ascii="Arial" w:hAnsi="Arial" w:cs="Arial"/>
                <w:b/>
                <w:sz w:val="22"/>
                <w:szCs w:val="22"/>
              </w:rPr>
            </w:pPr>
            <w:r w:rsidRPr="00355B3E">
              <w:rPr>
                <w:rFonts w:ascii="Arial" w:hAnsi="Arial" w:cs="Arial"/>
                <w:b/>
                <w:sz w:val="22"/>
                <w:szCs w:val="22"/>
              </w:rPr>
              <w:t>2.</w:t>
            </w:r>
          </w:p>
        </w:tc>
        <w:tc>
          <w:tcPr>
            <w:tcW w:w="4643" w:type="pct"/>
          </w:tcPr>
          <w:p w:rsidR="000D7021" w:rsidRPr="00355B3E" w:rsidRDefault="00355B3E" w:rsidP="000D7021">
            <w:pPr>
              <w:spacing w:after="120"/>
              <w:rPr>
                <w:rFonts w:ascii="Arial" w:hAnsi="Arial" w:cs="Arial"/>
                <w:sz w:val="22"/>
                <w:szCs w:val="22"/>
              </w:rPr>
            </w:pPr>
            <w:r w:rsidRPr="00355B3E">
              <w:rPr>
                <w:rFonts w:ascii="Arial" w:hAnsi="Arial" w:cs="Arial"/>
                <w:sz w:val="22"/>
                <w:szCs w:val="22"/>
              </w:rPr>
              <w:t>When asked about what the Graduate School meant for them, students were clear that the Dean and Graduate School Manager ‘were’ the Graduate School in their eyes. The Panel commend</w:t>
            </w:r>
            <w:r>
              <w:rPr>
                <w:rFonts w:ascii="Arial" w:hAnsi="Arial" w:cs="Arial"/>
                <w:sz w:val="22"/>
                <w:szCs w:val="22"/>
              </w:rPr>
              <w:t>s</w:t>
            </w:r>
            <w:r w:rsidRPr="00355B3E">
              <w:rPr>
                <w:rFonts w:ascii="Arial" w:hAnsi="Arial" w:cs="Arial"/>
                <w:sz w:val="22"/>
                <w:szCs w:val="22"/>
              </w:rPr>
              <w:t xml:space="preserve"> the highly supportive and responsive approach that they have taken to managing the operations of the Graduate School.</w:t>
            </w:r>
          </w:p>
        </w:tc>
      </w:tr>
      <w:tr w:rsidR="006E56C4" w:rsidRPr="009959D8" w:rsidTr="00C94831">
        <w:tc>
          <w:tcPr>
            <w:tcW w:w="357" w:type="pct"/>
          </w:tcPr>
          <w:p w:rsidR="006E56C4" w:rsidRPr="00355B3E" w:rsidRDefault="006E56C4" w:rsidP="000D7021">
            <w:pPr>
              <w:spacing w:after="120"/>
              <w:rPr>
                <w:rFonts w:ascii="Arial" w:hAnsi="Arial" w:cs="Arial"/>
                <w:b/>
                <w:sz w:val="22"/>
                <w:szCs w:val="22"/>
              </w:rPr>
            </w:pPr>
            <w:r w:rsidRPr="00355B3E">
              <w:rPr>
                <w:rFonts w:ascii="Arial" w:hAnsi="Arial" w:cs="Arial"/>
                <w:b/>
                <w:sz w:val="22"/>
                <w:szCs w:val="22"/>
              </w:rPr>
              <w:t>3.</w:t>
            </w:r>
          </w:p>
        </w:tc>
        <w:tc>
          <w:tcPr>
            <w:tcW w:w="4643" w:type="pct"/>
          </w:tcPr>
          <w:p w:rsidR="000D7021" w:rsidRPr="00355B3E" w:rsidRDefault="00D739FD" w:rsidP="000D7021">
            <w:pPr>
              <w:spacing w:after="120"/>
              <w:rPr>
                <w:rFonts w:ascii="Arial" w:hAnsi="Arial" w:cs="Arial"/>
                <w:sz w:val="22"/>
                <w:szCs w:val="22"/>
              </w:rPr>
            </w:pPr>
            <w:r>
              <w:rPr>
                <w:rFonts w:ascii="Arial" w:hAnsi="Arial" w:cs="Arial"/>
                <w:sz w:val="22"/>
                <w:szCs w:val="22"/>
              </w:rPr>
              <w:t xml:space="preserve">The Graduate School works very hard to ensure a high quality training programme is in place for researchers as well as community building events and activities. Students and staff value this support and coordination highly and the Panel commends this. </w:t>
            </w:r>
          </w:p>
        </w:tc>
      </w:tr>
    </w:tbl>
    <w:p w:rsidR="006E56C4" w:rsidRDefault="006E56C4" w:rsidP="00A82B6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i/>
          <w:sz w:val="22"/>
          <w:szCs w:val="22"/>
        </w:rPr>
      </w:pPr>
    </w:p>
    <w:p w:rsidR="00B81E4C" w:rsidRPr="00B81E4C" w:rsidRDefault="00B81E4C" w:rsidP="00A82B6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Bold" w:hAnsi="Arial" w:cs="Arial"/>
          <w:b/>
          <w:i/>
          <w:sz w:val="22"/>
          <w:szCs w:val="22"/>
        </w:rPr>
      </w:pPr>
      <w:r w:rsidRPr="00B81E4C">
        <w:rPr>
          <w:rFonts w:ascii="Arial" w:hAnsi="Arial" w:cs="Arial"/>
          <w:b/>
          <w:i/>
          <w:sz w:val="22"/>
          <w:szCs w:val="22"/>
        </w:rPr>
        <w:t>Recommendations</w:t>
      </w:r>
    </w:p>
    <w:tbl>
      <w:tblPr>
        <w:tblStyle w:val="TableGrid"/>
        <w:tblW w:w="5000" w:type="pct"/>
        <w:tblLook w:val="04A0" w:firstRow="1" w:lastRow="0" w:firstColumn="1" w:lastColumn="0" w:noHBand="0" w:noVBand="1"/>
      </w:tblPr>
      <w:tblGrid>
        <w:gridCol w:w="644"/>
        <w:gridCol w:w="8372"/>
      </w:tblGrid>
      <w:tr w:rsidR="00B81E4C" w:rsidRPr="009959D8" w:rsidTr="00B81E4C">
        <w:tc>
          <w:tcPr>
            <w:tcW w:w="357" w:type="pct"/>
          </w:tcPr>
          <w:p w:rsidR="00B81E4C" w:rsidRPr="009959D8" w:rsidRDefault="00B81E4C" w:rsidP="00A44019">
            <w:pPr>
              <w:rPr>
                <w:rFonts w:ascii="Arial" w:hAnsi="Arial" w:cs="Arial"/>
                <w:b/>
                <w:sz w:val="22"/>
                <w:szCs w:val="22"/>
              </w:rPr>
            </w:pPr>
            <w:r w:rsidRPr="009959D8">
              <w:rPr>
                <w:rFonts w:ascii="Arial" w:hAnsi="Arial" w:cs="Arial"/>
                <w:b/>
                <w:sz w:val="22"/>
                <w:szCs w:val="22"/>
              </w:rPr>
              <w:t>No.</w:t>
            </w:r>
          </w:p>
        </w:tc>
        <w:tc>
          <w:tcPr>
            <w:tcW w:w="4643" w:type="pct"/>
          </w:tcPr>
          <w:p w:rsidR="00B81E4C" w:rsidRPr="009959D8" w:rsidRDefault="00B81E4C" w:rsidP="00A44019">
            <w:pPr>
              <w:rPr>
                <w:rFonts w:ascii="Arial" w:hAnsi="Arial" w:cs="Arial"/>
                <w:b/>
                <w:sz w:val="22"/>
                <w:szCs w:val="22"/>
              </w:rPr>
            </w:pPr>
          </w:p>
        </w:tc>
      </w:tr>
      <w:tr w:rsidR="00B81E4C" w:rsidRPr="009959D8" w:rsidTr="00B81E4C">
        <w:tc>
          <w:tcPr>
            <w:tcW w:w="357" w:type="pct"/>
          </w:tcPr>
          <w:p w:rsidR="00B81E4C" w:rsidRPr="009959D8" w:rsidRDefault="00B81E4C" w:rsidP="00A44019">
            <w:pPr>
              <w:rPr>
                <w:rFonts w:ascii="Arial" w:hAnsi="Arial" w:cs="Arial"/>
                <w:b/>
                <w:sz w:val="22"/>
                <w:szCs w:val="22"/>
              </w:rPr>
            </w:pPr>
            <w:r>
              <w:rPr>
                <w:rFonts w:ascii="Arial" w:hAnsi="Arial" w:cs="Arial"/>
                <w:b/>
                <w:sz w:val="22"/>
                <w:szCs w:val="22"/>
              </w:rPr>
              <w:t>1.</w:t>
            </w:r>
          </w:p>
        </w:tc>
        <w:tc>
          <w:tcPr>
            <w:tcW w:w="4643" w:type="pct"/>
          </w:tcPr>
          <w:p w:rsidR="00E94EAC" w:rsidRPr="00E94EAC" w:rsidRDefault="00E94EAC" w:rsidP="000D7021">
            <w:pPr>
              <w:spacing w:after="120"/>
              <w:rPr>
                <w:rFonts w:eastAsiaTheme="minorHAnsi"/>
                <w:bdr w:val="none" w:sz="0" w:space="0" w:color="auto"/>
                <w:lang w:val="en-GB"/>
              </w:rPr>
            </w:pPr>
            <w:r w:rsidRPr="00E94EAC">
              <w:rPr>
                <w:rFonts w:ascii="Arial" w:hAnsi="Arial" w:cs="Arial"/>
                <w:sz w:val="22"/>
                <w:szCs w:val="22"/>
              </w:rPr>
              <w:t>Low 4-year submission rates are a key issue requiring resolution by the Graduate School and the Academic Schools. Additional investigation into the reasons for this should be undertaken and difference between the schools understood. While it is acknowledged that resolving this will take time, the Graduate School needs to perform more regular monitoring</w:t>
            </w:r>
            <w:r w:rsidRPr="00E94EAC">
              <w:rPr>
                <w:rFonts w:ascii="Arial" w:hAnsi="Arial" w:cs="Arial"/>
                <w:strike/>
                <w:sz w:val="22"/>
                <w:szCs w:val="22"/>
              </w:rPr>
              <w:t xml:space="preserve"> </w:t>
            </w:r>
            <w:r w:rsidRPr="00E94EAC">
              <w:rPr>
                <w:rFonts w:ascii="Arial" w:hAnsi="Arial" w:cs="Arial"/>
                <w:sz w:val="22"/>
                <w:szCs w:val="22"/>
              </w:rPr>
              <w:t xml:space="preserve">of the administration of progression processes in the Schools, impose firm consequences for late submission and provide clear, accessible messages to students and staff about these consequences.   </w:t>
            </w:r>
          </w:p>
        </w:tc>
      </w:tr>
      <w:tr w:rsidR="00B81E4C" w:rsidRPr="009959D8" w:rsidTr="00B81E4C">
        <w:tc>
          <w:tcPr>
            <w:tcW w:w="357" w:type="pct"/>
          </w:tcPr>
          <w:p w:rsidR="00B81E4C" w:rsidRPr="009959D8" w:rsidRDefault="00B81E4C" w:rsidP="00A44019">
            <w:pPr>
              <w:rPr>
                <w:rFonts w:ascii="Arial" w:hAnsi="Arial" w:cs="Arial"/>
                <w:b/>
                <w:sz w:val="22"/>
                <w:szCs w:val="22"/>
              </w:rPr>
            </w:pPr>
            <w:r>
              <w:rPr>
                <w:rFonts w:ascii="Arial" w:hAnsi="Arial" w:cs="Arial"/>
                <w:b/>
                <w:sz w:val="22"/>
                <w:szCs w:val="22"/>
              </w:rPr>
              <w:t>2.</w:t>
            </w:r>
          </w:p>
        </w:tc>
        <w:tc>
          <w:tcPr>
            <w:tcW w:w="4643" w:type="pct"/>
          </w:tcPr>
          <w:p w:rsidR="00E94EAC" w:rsidRPr="00860DF5" w:rsidRDefault="00B81E4C" w:rsidP="000D7021">
            <w:pPr>
              <w:spacing w:after="120"/>
              <w:rPr>
                <w:rFonts w:ascii="Arial" w:hAnsi="Arial" w:cs="Arial"/>
                <w:sz w:val="22"/>
                <w:szCs w:val="22"/>
              </w:rPr>
            </w:pPr>
            <w:r>
              <w:rPr>
                <w:rFonts w:ascii="Arial" w:hAnsi="Arial" w:cs="Arial"/>
                <w:sz w:val="22"/>
                <w:szCs w:val="22"/>
              </w:rPr>
              <w:t>Annual Progress Review</w:t>
            </w:r>
            <w:r w:rsidR="008D79E5">
              <w:rPr>
                <w:rFonts w:ascii="Arial" w:hAnsi="Arial" w:cs="Arial"/>
                <w:sz w:val="22"/>
                <w:szCs w:val="22"/>
              </w:rPr>
              <w:t xml:space="preserve"> processes </w:t>
            </w:r>
            <w:r w:rsidR="00406898">
              <w:rPr>
                <w:rFonts w:ascii="Arial" w:hAnsi="Arial" w:cs="Arial"/>
                <w:sz w:val="22"/>
                <w:szCs w:val="22"/>
              </w:rPr>
              <w:t xml:space="preserve">should be </w:t>
            </w:r>
            <w:r w:rsidR="008D79E5">
              <w:rPr>
                <w:rFonts w:ascii="Arial" w:hAnsi="Arial" w:cs="Arial"/>
                <w:sz w:val="22"/>
                <w:szCs w:val="22"/>
              </w:rPr>
              <w:t>kept under review in order to encourage and maintain consistency.</w:t>
            </w:r>
            <w:r>
              <w:rPr>
                <w:rFonts w:ascii="Arial" w:hAnsi="Arial" w:cs="Arial"/>
                <w:sz w:val="22"/>
                <w:szCs w:val="22"/>
              </w:rPr>
              <w:t xml:space="preserve"> </w:t>
            </w:r>
            <w:r w:rsidR="008D79E5">
              <w:rPr>
                <w:rFonts w:ascii="Arial" w:hAnsi="Arial" w:cs="Arial"/>
                <w:sz w:val="22"/>
                <w:szCs w:val="22"/>
              </w:rPr>
              <w:t>W</w:t>
            </w:r>
            <w:r>
              <w:rPr>
                <w:rFonts w:ascii="Arial" w:hAnsi="Arial" w:cs="Arial"/>
                <w:sz w:val="22"/>
                <w:szCs w:val="22"/>
              </w:rPr>
              <w:t>hile staff and students felt that the process was supportive and broadly achieved its desired ends, there were inconsistencie</w:t>
            </w:r>
            <w:r w:rsidR="008D79E5">
              <w:rPr>
                <w:rFonts w:ascii="Arial" w:hAnsi="Arial" w:cs="Arial"/>
                <w:sz w:val="22"/>
                <w:szCs w:val="22"/>
              </w:rPr>
              <w:t>s and some divergent practices noted</w:t>
            </w:r>
            <w:r>
              <w:rPr>
                <w:rFonts w:ascii="Arial" w:hAnsi="Arial" w:cs="Arial"/>
                <w:sz w:val="22"/>
                <w:szCs w:val="22"/>
              </w:rPr>
              <w:t>.</w:t>
            </w:r>
          </w:p>
        </w:tc>
      </w:tr>
      <w:tr w:rsidR="00B81E4C" w:rsidRPr="009959D8" w:rsidTr="00B81E4C">
        <w:tc>
          <w:tcPr>
            <w:tcW w:w="357" w:type="pct"/>
          </w:tcPr>
          <w:p w:rsidR="00B81E4C" w:rsidRPr="009959D8" w:rsidRDefault="00B81E4C" w:rsidP="00A44019">
            <w:pPr>
              <w:rPr>
                <w:rFonts w:ascii="Arial" w:hAnsi="Arial" w:cs="Arial"/>
                <w:b/>
                <w:sz w:val="22"/>
                <w:szCs w:val="22"/>
              </w:rPr>
            </w:pPr>
            <w:r>
              <w:rPr>
                <w:rFonts w:ascii="Arial" w:hAnsi="Arial" w:cs="Arial"/>
                <w:b/>
                <w:sz w:val="22"/>
                <w:szCs w:val="22"/>
              </w:rPr>
              <w:t>3.</w:t>
            </w:r>
          </w:p>
        </w:tc>
        <w:tc>
          <w:tcPr>
            <w:tcW w:w="4643" w:type="pct"/>
          </w:tcPr>
          <w:p w:rsidR="00E94EAC" w:rsidRPr="00B52232" w:rsidRDefault="00B81E4C" w:rsidP="000D7021">
            <w:pPr>
              <w:spacing w:after="120"/>
              <w:rPr>
                <w:rFonts w:ascii="Arial" w:hAnsi="Arial" w:cs="Arial"/>
                <w:sz w:val="22"/>
                <w:szCs w:val="22"/>
              </w:rPr>
            </w:pPr>
            <w:r>
              <w:rPr>
                <w:rFonts w:ascii="Arial" w:hAnsi="Arial" w:cs="Arial"/>
                <w:sz w:val="22"/>
                <w:szCs w:val="22"/>
              </w:rPr>
              <w:t xml:space="preserve">The Graduate School should reflect on how </w:t>
            </w:r>
            <w:r w:rsidR="00A56DD9">
              <w:rPr>
                <w:rFonts w:ascii="Arial" w:hAnsi="Arial" w:cs="Arial"/>
                <w:sz w:val="22"/>
                <w:szCs w:val="22"/>
              </w:rPr>
              <w:t xml:space="preserve">more </w:t>
            </w:r>
            <w:r>
              <w:rPr>
                <w:rFonts w:ascii="Arial" w:hAnsi="Arial" w:cs="Arial"/>
                <w:sz w:val="22"/>
                <w:szCs w:val="22"/>
              </w:rPr>
              <w:t>pastoral support can be provided</w:t>
            </w:r>
            <w:r w:rsidR="00A56DD9">
              <w:rPr>
                <w:rFonts w:ascii="Arial" w:hAnsi="Arial" w:cs="Arial"/>
                <w:sz w:val="22"/>
                <w:szCs w:val="22"/>
              </w:rPr>
              <w:t xml:space="preserve"> within the schools</w:t>
            </w:r>
            <w:r>
              <w:rPr>
                <w:rFonts w:ascii="Arial" w:hAnsi="Arial" w:cs="Arial"/>
                <w:sz w:val="22"/>
                <w:szCs w:val="22"/>
              </w:rPr>
              <w:t xml:space="preserve"> </w:t>
            </w:r>
            <w:r w:rsidR="00A56DD9">
              <w:rPr>
                <w:rFonts w:ascii="Arial" w:hAnsi="Arial" w:cs="Arial"/>
                <w:sz w:val="22"/>
                <w:szCs w:val="22"/>
              </w:rPr>
              <w:t xml:space="preserve">and </w:t>
            </w:r>
            <w:r>
              <w:rPr>
                <w:rFonts w:ascii="Arial" w:hAnsi="Arial" w:cs="Arial"/>
                <w:sz w:val="22"/>
                <w:szCs w:val="22"/>
              </w:rPr>
              <w:t xml:space="preserve">its availability more effectively communicated </w:t>
            </w:r>
            <w:r w:rsidR="008D79E5">
              <w:rPr>
                <w:rFonts w:ascii="Arial" w:hAnsi="Arial" w:cs="Arial"/>
                <w:sz w:val="22"/>
                <w:szCs w:val="22"/>
              </w:rPr>
              <w:t xml:space="preserve">to students </w:t>
            </w:r>
            <w:r>
              <w:rPr>
                <w:rFonts w:ascii="Arial" w:hAnsi="Arial" w:cs="Arial"/>
                <w:sz w:val="22"/>
                <w:szCs w:val="22"/>
              </w:rPr>
              <w:t xml:space="preserve">to lessen the burden on Graduate School staff.  </w:t>
            </w:r>
          </w:p>
        </w:tc>
      </w:tr>
      <w:tr w:rsidR="00D41C3C" w:rsidRPr="009959D8" w:rsidTr="00B81E4C">
        <w:tc>
          <w:tcPr>
            <w:tcW w:w="357" w:type="pct"/>
          </w:tcPr>
          <w:p w:rsidR="00D41C3C" w:rsidRDefault="00D41C3C" w:rsidP="00D41C3C">
            <w:pPr>
              <w:rPr>
                <w:rFonts w:ascii="Arial" w:hAnsi="Arial" w:cs="Arial"/>
                <w:b/>
                <w:sz w:val="22"/>
                <w:szCs w:val="22"/>
              </w:rPr>
            </w:pPr>
            <w:r>
              <w:rPr>
                <w:rFonts w:ascii="Arial" w:hAnsi="Arial" w:cs="Arial"/>
                <w:b/>
                <w:sz w:val="22"/>
                <w:szCs w:val="22"/>
              </w:rPr>
              <w:t>4.</w:t>
            </w:r>
          </w:p>
        </w:tc>
        <w:tc>
          <w:tcPr>
            <w:tcW w:w="4643" w:type="pct"/>
          </w:tcPr>
          <w:p w:rsidR="00E94EAC" w:rsidRDefault="00D41C3C" w:rsidP="000D7021">
            <w:pPr>
              <w:spacing w:after="120"/>
              <w:rPr>
                <w:rFonts w:ascii="Arial" w:hAnsi="Arial" w:cs="Arial"/>
                <w:sz w:val="22"/>
                <w:szCs w:val="22"/>
              </w:rPr>
            </w:pPr>
            <w:r>
              <w:rPr>
                <w:rFonts w:ascii="Arial" w:hAnsi="Arial" w:cs="Arial"/>
                <w:sz w:val="22"/>
                <w:szCs w:val="22"/>
              </w:rPr>
              <w:t>The level of administrative support for the Graduate School should be reviewed by the College to ensure that it is sufficient to support the delivery of the goals of the Graduate School.</w:t>
            </w:r>
          </w:p>
        </w:tc>
      </w:tr>
      <w:tr w:rsidR="00D41C3C" w:rsidRPr="009959D8" w:rsidTr="00B81E4C">
        <w:tc>
          <w:tcPr>
            <w:tcW w:w="357" w:type="pct"/>
          </w:tcPr>
          <w:p w:rsidR="00D41C3C" w:rsidRDefault="00D41C3C" w:rsidP="00D41C3C">
            <w:pPr>
              <w:rPr>
                <w:rFonts w:ascii="Arial" w:hAnsi="Arial" w:cs="Arial"/>
                <w:b/>
                <w:sz w:val="22"/>
                <w:szCs w:val="22"/>
              </w:rPr>
            </w:pPr>
            <w:r>
              <w:rPr>
                <w:rFonts w:ascii="Arial" w:hAnsi="Arial" w:cs="Arial"/>
                <w:b/>
                <w:sz w:val="22"/>
                <w:szCs w:val="22"/>
              </w:rPr>
              <w:t>5.</w:t>
            </w:r>
          </w:p>
        </w:tc>
        <w:tc>
          <w:tcPr>
            <w:tcW w:w="4643" w:type="pct"/>
          </w:tcPr>
          <w:p w:rsidR="00E94EAC" w:rsidRDefault="00D41C3C" w:rsidP="000D7021">
            <w:pPr>
              <w:spacing w:after="120"/>
              <w:rPr>
                <w:rFonts w:ascii="Arial" w:hAnsi="Arial" w:cs="Arial"/>
                <w:sz w:val="22"/>
                <w:szCs w:val="22"/>
              </w:rPr>
            </w:pPr>
            <w:r>
              <w:rPr>
                <w:rFonts w:ascii="Arial" w:hAnsi="Arial" w:cs="Arial"/>
                <w:sz w:val="22"/>
                <w:szCs w:val="22"/>
              </w:rPr>
              <w:t>Engagement</w:t>
            </w:r>
            <w:r w:rsidR="00A56DD9">
              <w:rPr>
                <w:rFonts w:ascii="Arial" w:hAnsi="Arial" w:cs="Arial"/>
                <w:sz w:val="22"/>
                <w:szCs w:val="22"/>
              </w:rPr>
              <w:t xml:space="preserve"> of staff</w:t>
            </w:r>
            <w:r>
              <w:rPr>
                <w:rFonts w:ascii="Arial" w:hAnsi="Arial" w:cs="Arial"/>
                <w:sz w:val="22"/>
                <w:szCs w:val="22"/>
              </w:rPr>
              <w:t xml:space="preserve"> with </w:t>
            </w:r>
            <w:r w:rsidR="00A56DD9">
              <w:rPr>
                <w:rFonts w:ascii="Arial" w:hAnsi="Arial" w:cs="Arial"/>
                <w:sz w:val="22"/>
                <w:szCs w:val="22"/>
              </w:rPr>
              <w:t xml:space="preserve">existing </w:t>
            </w:r>
            <w:r>
              <w:rPr>
                <w:rFonts w:ascii="Arial" w:hAnsi="Arial" w:cs="Arial"/>
                <w:sz w:val="22"/>
                <w:szCs w:val="22"/>
              </w:rPr>
              <w:t>supervisor training should be improved. The Graduate School should continue to develop and promote the programme of workshops / seminars</w:t>
            </w:r>
            <w:r w:rsidR="00406898">
              <w:rPr>
                <w:rFonts w:ascii="Arial" w:hAnsi="Arial" w:cs="Arial"/>
                <w:sz w:val="22"/>
                <w:szCs w:val="22"/>
              </w:rPr>
              <w:t xml:space="preserve"> that they have recently instituted</w:t>
            </w:r>
            <w:r>
              <w:rPr>
                <w:rFonts w:ascii="Arial" w:hAnsi="Arial" w:cs="Arial"/>
                <w:sz w:val="22"/>
                <w:szCs w:val="22"/>
              </w:rPr>
              <w:t>. Senior staff members should be strongly encouraged to visibly support training</w:t>
            </w:r>
            <w:r w:rsidR="00A56DD9">
              <w:rPr>
                <w:rFonts w:ascii="Arial" w:hAnsi="Arial" w:cs="Arial"/>
                <w:sz w:val="22"/>
                <w:szCs w:val="22"/>
              </w:rPr>
              <w:t xml:space="preserve"> and development efforts, by attendance at the courses themselves and setting targets for the attendance of others</w:t>
            </w:r>
            <w:r>
              <w:rPr>
                <w:rFonts w:ascii="Arial" w:hAnsi="Arial" w:cs="Arial"/>
                <w:sz w:val="22"/>
                <w:szCs w:val="22"/>
              </w:rPr>
              <w:t xml:space="preserve">. </w:t>
            </w:r>
          </w:p>
        </w:tc>
      </w:tr>
      <w:tr w:rsidR="00D41C3C" w:rsidRPr="009959D8" w:rsidTr="00B81E4C">
        <w:tc>
          <w:tcPr>
            <w:tcW w:w="357" w:type="pct"/>
          </w:tcPr>
          <w:p w:rsidR="00D41C3C" w:rsidRPr="009959D8" w:rsidRDefault="00D41C3C" w:rsidP="00D41C3C">
            <w:pPr>
              <w:rPr>
                <w:rFonts w:ascii="Arial" w:hAnsi="Arial" w:cs="Arial"/>
                <w:b/>
                <w:sz w:val="22"/>
                <w:szCs w:val="22"/>
              </w:rPr>
            </w:pPr>
            <w:r>
              <w:rPr>
                <w:rFonts w:ascii="Arial" w:hAnsi="Arial" w:cs="Arial"/>
                <w:b/>
                <w:sz w:val="22"/>
                <w:szCs w:val="22"/>
              </w:rPr>
              <w:t xml:space="preserve">6. </w:t>
            </w:r>
          </w:p>
        </w:tc>
        <w:tc>
          <w:tcPr>
            <w:tcW w:w="4643" w:type="pct"/>
          </w:tcPr>
          <w:p w:rsidR="00E94EAC" w:rsidRPr="00B52232" w:rsidRDefault="00D41C3C" w:rsidP="000D7021">
            <w:pPr>
              <w:spacing w:after="120"/>
              <w:rPr>
                <w:rFonts w:ascii="Arial" w:hAnsi="Arial" w:cs="Arial"/>
                <w:sz w:val="22"/>
                <w:szCs w:val="22"/>
              </w:rPr>
            </w:pPr>
            <w:r>
              <w:rPr>
                <w:rFonts w:ascii="Arial" w:hAnsi="Arial" w:cs="Arial"/>
                <w:sz w:val="22"/>
                <w:szCs w:val="22"/>
              </w:rPr>
              <w:t xml:space="preserve">Consideration should be given to how supervisor development could be included in Performance and Development Review processes.  </w:t>
            </w:r>
          </w:p>
        </w:tc>
      </w:tr>
    </w:tbl>
    <w:p w:rsidR="00056E72" w:rsidRDefault="00056E72" w:rsidP="00056E72">
      <w:pPr>
        <w:rPr>
          <w:rFonts w:ascii="Arial" w:hAnsi="Arial" w:cs="Arial"/>
          <w:sz w:val="22"/>
          <w:szCs w:val="22"/>
        </w:rPr>
      </w:pPr>
    </w:p>
    <w:p w:rsidR="00B81E4C" w:rsidRPr="006E56C4" w:rsidRDefault="00B81E4C" w:rsidP="00B81E4C">
      <w:pPr>
        <w:pStyle w:val="NoSpacing"/>
        <w:rPr>
          <w:rFonts w:cs="Arial"/>
          <w:b/>
          <w:szCs w:val="22"/>
        </w:rPr>
      </w:pPr>
      <w:r w:rsidRPr="006E56C4">
        <w:rPr>
          <w:rFonts w:cs="Arial"/>
          <w:b/>
          <w:szCs w:val="22"/>
        </w:rPr>
        <w:t>Conclusion</w:t>
      </w:r>
    </w:p>
    <w:p w:rsidR="00B81E4C" w:rsidRDefault="007346CF" w:rsidP="00B81E4C">
      <w:pPr>
        <w:pStyle w:val="NoSpacing"/>
        <w:rPr>
          <w:rFonts w:cs="Arial"/>
          <w:szCs w:val="22"/>
        </w:rPr>
      </w:pPr>
      <w:r>
        <w:rPr>
          <w:rFonts w:cs="Arial"/>
          <w:szCs w:val="22"/>
        </w:rPr>
        <w:t>T</w:t>
      </w:r>
      <w:r w:rsidR="00B81E4C">
        <w:rPr>
          <w:rFonts w:cs="Arial"/>
          <w:szCs w:val="22"/>
        </w:rPr>
        <w:t xml:space="preserve">he overall impression made by the Graduate School in this Review was </w:t>
      </w:r>
      <w:r>
        <w:rPr>
          <w:rFonts w:cs="Arial"/>
          <w:szCs w:val="22"/>
        </w:rPr>
        <w:t xml:space="preserve">very </w:t>
      </w:r>
      <w:r w:rsidR="00B81E4C">
        <w:rPr>
          <w:rFonts w:cs="Arial"/>
          <w:szCs w:val="22"/>
        </w:rPr>
        <w:t>positive.</w:t>
      </w:r>
      <w:r>
        <w:rPr>
          <w:rFonts w:cs="Arial"/>
          <w:szCs w:val="22"/>
        </w:rPr>
        <w:t xml:space="preserve"> While the Panel was at times challenging, there was a strong sense that </w:t>
      </w:r>
      <w:r w:rsidR="00406898">
        <w:rPr>
          <w:rFonts w:cs="Arial"/>
          <w:szCs w:val="22"/>
        </w:rPr>
        <w:t>the Graduate School</w:t>
      </w:r>
      <w:r>
        <w:rPr>
          <w:rFonts w:cs="Arial"/>
          <w:szCs w:val="22"/>
        </w:rPr>
        <w:t xml:space="preserve"> had an awareness of the issues facing them and had already begun to address these. </w:t>
      </w:r>
      <w:r w:rsidR="00B81E4C">
        <w:rPr>
          <w:rFonts w:cs="Arial"/>
          <w:szCs w:val="22"/>
        </w:rPr>
        <w:t xml:space="preserve">There </w:t>
      </w:r>
      <w:r w:rsidR="00B81E4C">
        <w:rPr>
          <w:rFonts w:cs="Arial"/>
          <w:szCs w:val="22"/>
        </w:rPr>
        <w:lastRenderedPageBreak/>
        <w:t xml:space="preserve">were clearly </w:t>
      </w:r>
      <w:r w:rsidR="00E94EAC">
        <w:rPr>
          <w:rFonts w:cs="Arial"/>
          <w:szCs w:val="22"/>
        </w:rPr>
        <w:t>longer term</w:t>
      </w:r>
      <w:r>
        <w:rPr>
          <w:rFonts w:cs="Arial"/>
          <w:szCs w:val="22"/>
        </w:rPr>
        <w:t xml:space="preserve"> </w:t>
      </w:r>
      <w:r w:rsidR="00B81E4C">
        <w:rPr>
          <w:rFonts w:cs="Arial"/>
          <w:szCs w:val="22"/>
        </w:rPr>
        <w:t xml:space="preserve">issues that they were working to resolve but </w:t>
      </w:r>
      <w:r>
        <w:rPr>
          <w:rFonts w:cs="Arial"/>
          <w:szCs w:val="22"/>
        </w:rPr>
        <w:t xml:space="preserve">it was possible to see </w:t>
      </w:r>
      <w:r w:rsidR="00B81E4C">
        <w:rPr>
          <w:rFonts w:cs="Arial"/>
          <w:szCs w:val="22"/>
        </w:rPr>
        <w:t xml:space="preserve">the </w:t>
      </w:r>
      <w:r w:rsidR="00406898">
        <w:rPr>
          <w:rFonts w:cs="Arial"/>
          <w:szCs w:val="22"/>
        </w:rPr>
        <w:t xml:space="preserve">positive </w:t>
      </w:r>
      <w:r w:rsidR="00B81E4C">
        <w:rPr>
          <w:rFonts w:cs="Arial"/>
          <w:szCs w:val="22"/>
        </w:rPr>
        <w:t>impact of the Graduate School</w:t>
      </w:r>
      <w:r>
        <w:rPr>
          <w:rFonts w:cs="Arial"/>
          <w:szCs w:val="22"/>
        </w:rPr>
        <w:t xml:space="preserve"> across the Schools and in the experience of the students. </w:t>
      </w:r>
      <w:r w:rsidR="00B81E4C" w:rsidRPr="00753D65">
        <w:rPr>
          <w:rFonts w:cs="Arial"/>
          <w:szCs w:val="22"/>
        </w:rPr>
        <w:t xml:space="preserve">The </w:t>
      </w:r>
      <w:r w:rsidR="00B81E4C">
        <w:rPr>
          <w:rFonts w:cs="Arial"/>
          <w:szCs w:val="22"/>
        </w:rPr>
        <w:t>GS</w:t>
      </w:r>
      <w:r w:rsidR="00B81E4C" w:rsidRPr="00753D65">
        <w:rPr>
          <w:rFonts w:cs="Arial"/>
          <w:szCs w:val="22"/>
        </w:rPr>
        <w:t xml:space="preserve"> should be proud of its achievements and the Panel would like to thank them for their participation in the Review process. </w:t>
      </w:r>
    </w:p>
    <w:p w:rsidR="007346CF" w:rsidRPr="00753D65" w:rsidRDefault="007346CF" w:rsidP="00B81E4C">
      <w:pPr>
        <w:pStyle w:val="NoSpacing"/>
        <w:rPr>
          <w:rFonts w:cs="Arial"/>
          <w:szCs w:val="22"/>
        </w:rPr>
      </w:pPr>
    </w:p>
    <w:sectPr w:rsidR="007346CF" w:rsidRPr="00753D6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FB0" w:rsidRDefault="00E84FB0" w:rsidP="00F72697">
      <w:r>
        <w:separator/>
      </w:r>
    </w:p>
  </w:endnote>
  <w:endnote w:type="continuationSeparator" w:id="0">
    <w:p w:rsidR="00E84FB0" w:rsidRDefault="00E84FB0" w:rsidP="00F7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auto"/>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774245"/>
      <w:docPartObj>
        <w:docPartGallery w:val="Page Numbers (Bottom of Page)"/>
        <w:docPartUnique/>
      </w:docPartObj>
    </w:sdtPr>
    <w:sdtEndPr>
      <w:rPr>
        <w:noProof/>
      </w:rPr>
    </w:sdtEndPr>
    <w:sdtContent>
      <w:p w:rsidR="00B81E4C" w:rsidRDefault="00B81E4C">
        <w:pPr>
          <w:pStyle w:val="Footer"/>
          <w:jc w:val="right"/>
        </w:pPr>
        <w:r>
          <w:fldChar w:fldCharType="begin"/>
        </w:r>
        <w:r>
          <w:instrText xml:space="preserve"> PAGE   \* MERGEFORMAT </w:instrText>
        </w:r>
        <w:r>
          <w:fldChar w:fldCharType="separate"/>
        </w:r>
        <w:r w:rsidR="00644CE9">
          <w:rPr>
            <w:noProof/>
          </w:rPr>
          <w:t>4</w:t>
        </w:r>
        <w:r>
          <w:rPr>
            <w:noProof/>
          </w:rPr>
          <w:fldChar w:fldCharType="end"/>
        </w:r>
      </w:p>
    </w:sdtContent>
  </w:sdt>
  <w:p w:rsidR="00B81E4C" w:rsidRDefault="00B81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FB0" w:rsidRDefault="00E84FB0" w:rsidP="00F72697">
      <w:r>
        <w:separator/>
      </w:r>
    </w:p>
  </w:footnote>
  <w:footnote w:type="continuationSeparator" w:id="0">
    <w:p w:rsidR="00E84FB0" w:rsidRDefault="00E84FB0" w:rsidP="00F7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6F19"/>
    <w:multiLevelType w:val="hybridMultilevel"/>
    <w:tmpl w:val="DCB4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A0DDC"/>
    <w:multiLevelType w:val="hybridMultilevel"/>
    <w:tmpl w:val="D218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A2350"/>
    <w:multiLevelType w:val="hybridMultilevel"/>
    <w:tmpl w:val="2AA6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2C5012"/>
    <w:multiLevelType w:val="hybridMultilevel"/>
    <w:tmpl w:val="1354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5"/>
    <w:rsid w:val="00001E8E"/>
    <w:rsid w:val="00056E72"/>
    <w:rsid w:val="00057510"/>
    <w:rsid w:val="000604BD"/>
    <w:rsid w:val="000638EA"/>
    <w:rsid w:val="00095F22"/>
    <w:rsid w:val="000D7021"/>
    <w:rsid w:val="00104806"/>
    <w:rsid w:val="00190400"/>
    <w:rsid w:val="001C12EE"/>
    <w:rsid w:val="001E3127"/>
    <w:rsid w:val="001F1C62"/>
    <w:rsid w:val="00284DF7"/>
    <w:rsid w:val="0028509F"/>
    <w:rsid w:val="002E4EBA"/>
    <w:rsid w:val="003243FB"/>
    <w:rsid w:val="0033485C"/>
    <w:rsid w:val="00355B3E"/>
    <w:rsid w:val="003B3282"/>
    <w:rsid w:val="00406898"/>
    <w:rsid w:val="004344A1"/>
    <w:rsid w:val="00475AD2"/>
    <w:rsid w:val="0047626C"/>
    <w:rsid w:val="00492347"/>
    <w:rsid w:val="00503C0C"/>
    <w:rsid w:val="00516ABC"/>
    <w:rsid w:val="00533182"/>
    <w:rsid w:val="005431DD"/>
    <w:rsid w:val="00566542"/>
    <w:rsid w:val="00595E52"/>
    <w:rsid w:val="006044E6"/>
    <w:rsid w:val="0063188D"/>
    <w:rsid w:val="00644CE9"/>
    <w:rsid w:val="00670091"/>
    <w:rsid w:val="00680B1D"/>
    <w:rsid w:val="006D3DBF"/>
    <w:rsid w:val="006E56C4"/>
    <w:rsid w:val="007346CF"/>
    <w:rsid w:val="00751E01"/>
    <w:rsid w:val="00766A4B"/>
    <w:rsid w:val="00782FC1"/>
    <w:rsid w:val="00842A1D"/>
    <w:rsid w:val="0085550C"/>
    <w:rsid w:val="00862576"/>
    <w:rsid w:val="008D79E5"/>
    <w:rsid w:val="008E157F"/>
    <w:rsid w:val="00907697"/>
    <w:rsid w:val="00907F54"/>
    <w:rsid w:val="009262D3"/>
    <w:rsid w:val="00952401"/>
    <w:rsid w:val="00972B60"/>
    <w:rsid w:val="009C50AB"/>
    <w:rsid w:val="009C79DA"/>
    <w:rsid w:val="00A43AE4"/>
    <w:rsid w:val="00A44019"/>
    <w:rsid w:val="00A55281"/>
    <w:rsid w:val="00A56DD9"/>
    <w:rsid w:val="00A825F5"/>
    <w:rsid w:val="00A82B63"/>
    <w:rsid w:val="00AC4921"/>
    <w:rsid w:val="00B81E4C"/>
    <w:rsid w:val="00C61465"/>
    <w:rsid w:val="00C752BA"/>
    <w:rsid w:val="00CD602D"/>
    <w:rsid w:val="00D41C3C"/>
    <w:rsid w:val="00D739FD"/>
    <w:rsid w:val="00DB2C06"/>
    <w:rsid w:val="00E03229"/>
    <w:rsid w:val="00E715CB"/>
    <w:rsid w:val="00E84FB0"/>
    <w:rsid w:val="00E94EAC"/>
    <w:rsid w:val="00F72697"/>
    <w:rsid w:val="00F809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F690A"/>
  <w15:docId w15:val="{FCFE6080-2A66-4A86-BD63-AF4EC3B5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44A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E52"/>
    <w:pPr>
      <w:pBdr>
        <w:top w:val="nil"/>
        <w:left w:val="nil"/>
        <w:bottom w:val="nil"/>
        <w:right w:val="nil"/>
        <w:between w:val="nil"/>
        <w:bar w:val="nil"/>
      </w:pBdr>
      <w:spacing w:after="0" w:line="276" w:lineRule="auto"/>
    </w:pPr>
    <w:rPr>
      <w:rFonts w:ascii="Arial" w:eastAsia="Arial Unicode MS" w:hAnsi="Arial" w:cs="Times New Roman"/>
      <w:szCs w:val="24"/>
      <w:bdr w:val="nil"/>
      <w:lang w:val="en-US"/>
    </w:rPr>
  </w:style>
  <w:style w:type="paragraph" w:styleId="ListParagraph">
    <w:name w:val="List Paragraph"/>
    <w:uiPriority w:val="34"/>
    <w:qFormat/>
    <w:rsid w:val="00670091"/>
    <w:pPr>
      <w:pBdr>
        <w:top w:val="nil"/>
        <w:left w:val="nil"/>
        <w:bottom w:val="nil"/>
        <w:right w:val="nil"/>
        <w:between w:val="nil"/>
        <w:bar w:val="nil"/>
      </w:pBdr>
      <w:spacing w:after="0" w:line="276" w:lineRule="auto"/>
      <w:ind w:left="720"/>
    </w:pPr>
    <w:rPr>
      <w:rFonts w:ascii="Arial" w:eastAsia="Arial" w:hAnsi="Arial" w:cs="Arial"/>
      <w:color w:val="000000"/>
      <w:u w:color="000000"/>
      <w:bdr w:val="nil"/>
      <w:lang w:val="en-US" w:eastAsia="en-GB"/>
    </w:rPr>
  </w:style>
  <w:style w:type="table" w:styleId="TableGrid">
    <w:name w:val="Table Grid"/>
    <w:basedOn w:val="TableNormal"/>
    <w:uiPriority w:val="59"/>
    <w:rsid w:val="00056E72"/>
    <w:pPr>
      <w:spacing w:after="0" w:line="240" w:lineRule="auto"/>
    </w:pPr>
    <w:rPr>
      <w:rFonts w:ascii="Cambria" w:eastAsia="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697"/>
    <w:pPr>
      <w:tabs>
        <w:tab w:val="center" w:pos="4513"/>
        <w:tab w:val="right" w:pos="9026"/>
      </w:tabs>
    </w:pPr>
  </w:style>
  <w:style w:type="character" w:customStyle="1" w:styleId="HeaderChar">
    <w:name w:val="Header Char"/>
    <w:basedOn w:val="DefaultParagraphFont"/>
    <w:link w:val="Header"/>
    <w:uiPriority w:val="99"/>
    <w:rsid w:val="00F72697"/>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72697"/>
    <w:pPr>
      <w:tabs>
        <w:tab w:val="center" w:pos="4513"/>
        <w:tab w:val="right" w:pos="9026"/>
      </w:tabs>
    </w:pPr>
  </w:style>
  <w:style w:type="character" w:customStyle="1" w:styleId="FooterChar">
    <w:name w:val="Footer Char"/>
    <w:basedOn w:val="DefaultParagraphFont"/>
    <w:link w:val="Footer"/>
    <w:uiPriority w:val="99"/>
    <w:rsid w:val="00F72697"/>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285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09F"/>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85AFC389.dotm</Template>
  <TotalTime>0</TotalTime>
  <Pages>8</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Kneafsey</dc:creator>
  <cp:keywords/>
  <dc:description/>
  <cp:lastModifiedBy>Mary Beth Kneafsey</cp:lastModifiedBy>
  <cp:revision>2</cp:revision>
  <cp:lastPrinted>2017-05-26T14:13:00Z</cp:lastPrinted>
  <dcterms:created xsi:type="dcterms:W3CDTF">2017-07-12T09:52:00Z</dcterms:created>
  <dcterms:modified xsi:type="dcterms:W3CDTF">2017-07-12T09:52:00Z</dcterms:modified>
</cp:coreProperties>
</file>