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20" w:rsidRDefault="00596920" w:rsidP="004D4367">
      <w:pPr>
        <w:jc w:val="center"/>
        <w:rPr>
          <w:rFonts w:ascii="Arial" w:hAnsi="Arial" w:cs="Arial"/>
          <w:sz w:val="32"/>
          <w:szCs w:val="32"/>
        </w:rPr>
      </w:pPr>
    </w:p>
    <w:p w:rsidR="00596920" w:rsidRDefault="00596920" w:rsidP="004D4367">
      <w:pPr>
        <w:jc w:val="center"/>
        <w:rPr>
          <w:rFonts w:ascii="Arial" w:hAnsi="Arial" w:cs="Arial"/>
          <w:sz w:val="32"/>
          <w:szCs w:val="32"/>
        </w:rPr>
      </w:pPr>
    </w:p>
    <w:p w:rsidR="00E92AEF" w:rsidRPr="00F92F46" w:rsidRDefault="00F92F46" w:rsidP="004D4367">
      <w:pPr>
        <w:jc w:val="center"/>
        <w:rPr>
          <w:rFonts w:ascii="Arial" w:hAnsi="Arial" w:cs="Arial"/>
          <w:sz w:val="32"/>
          <w:szCs w:val="32"/>
        </w:rPr>
      </w:pPr>
      <w:r w:rsidRPr="00F92F46">
        <w:rPr>
          <w:rFonts w:ascii="Arial" w:hAnsi="Arial" w:cs="Arial"/>
          <w:sz w:val="32"/>
          <w:szCs w:val="32"/>
        </w:rPr>
        <w:t>T</w:t>
      </w:r>
      <w:r w:rsidR="00E92AEF" w:rsidRPr="00F92F46">
        <w:rPr>
          <w:rFonts w:ascii="Arial" w:hAnsi="Arial" w:cs="Arial"/>
          <w:sz w:val="32"/>
          <w:szCs w:val="32"/>
        </w:rPr>
        <w:t xml:space="preserve">he </w:t>
      </w:r>
      <w:r w:rsidR="00E92AEF" w:rsidRPr="00F92F46">
        <w:rPr>
          <w:rFonts w:ascii="Arial" w:hAnsi="Arial" w:cs="Arial"/>
          <w:b/>
          <w:i/>
          <w:sz w:val="32"/>
          <w:szCs w:val="32"/>
        </w:rPr>
        <w:t>administrative procedures</w:t>
      </w:r>
      <w:r w:rsidR="00E92AEF" w:rsidRPr="00F92F46">
        <w:rPr>
          <w:rFonts w:ascii="Arial" w:hAnsi="Arial" w:cs="Arial"/>
          <w:sz w:val="32"/>
          <w:szCs w:val="32"/>
        </w:rPr>
        <w:t xml:space="preserve"> associated with PGR students</w:t>
      </w:r>
    </w:p>
    <w:tbl>
      <w:tblPr>
        <w:tblStyle w:val="TableGrid"/>
        <w:tblW w:w="0" w:type="auto"/>
        <w:tblLook w:val="04A0"/>
      </w:tblPr>
      <w:tblGrid>
        <w:gridCol w:w="5778"/>
        <w:gridCol w:w="9214"/>
        <w:gridCol w:w="5954"/>
      </w:tblGrid>
      <w:tr w:rsidR="00596920" w:rsidRPr="004D4367" w:rsidTr="004D4367">
        <w:tc>
          <w:tcPr>
            <w:tcW w:w="5778" w:type="dxa"/>
            <w:shd w:val="clear" w:color="auto" w:fill="548DD4" w:themeFill="text2" w:themeFillTint="99"/>
          </w:tcPr>
          <w:p w:rsidR="00E92AEF" w:rsidRPr="004D4367" w:rsidRDefault="00E92AEF" w:rsidP="00E92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367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9214" w:type="dxa"/>
            <w:shd w:val="clear" w:color="auto" w:fill="4F81BD" w:themeFill="accent1"/>
          </w:tcPr>
          <w:p w:rsidR="00E92AEF" w:rsidRPr="004D4367" w:rsidRDefault="00E92AEF" w:rsidP="00E92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367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5954" w:type="dxa"/>
            <w:shd w:val="clear" w:color="auto" w:fill="548DD4" w:themeFill="text2" w:themeFillTint="99"/>
          </w:tcPr>
          <w:p w:rsidR="00E92AEF" w:rsidRPr="004D4367" w:rsidRDefault="00E92AEF" w:rsidP="00E92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367">
              <w:rPr>
                <w:rFonts w:ascii="Arial" w:hAnsi="Arial" w:cs="Arial"/>
                <w:b/>
                <w:sz w:val="20"/>
                <w:szCs w:val="20"/>
              </w:rPr>
              <w:t>Graduate School/School/RIO</w:t>
            </w: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tabs>
                <w:tab w:val="left" w:pos="2009"/>
              </w:tabs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Contacts potential Supervisor</w:t>
            </w:r>
            <w:r w:rsidRPr="004D436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F92F46" w:rsidP="00E92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Advise</w:t>
            </w:r>
            <w:r w:rsidR="00E92AEF" w:rsidRPr="004D4367">
              <w:rPr>
                <w:rFonts w:ascii="Arial" w:hAnsi="Arial" w:cs="Arial"/>
                <w:sz w:val="20"/>
                <w:szCs w:val="20"/>
              </w:rPr>
              <w:t xml:space="preserve"> students to apply online naming him/her as potential Supervisors. You may want to discuss the re</w:t>
            </w:r>
            <w:r>
              <w:rPr>
                <w:rFonts w:ascii="Arial" w:hAnsi="Arial" w:cs="Arial"/>
                <w:sz w:val="20"/>
                <w:szCs w:val="20"/>
              </w:rPr>
              <w:t>search proposal at this stage if</w:t>
            </w:r>
            <w:r w:rsidR="00E92AEF" w:rsidRPr="004D4367">
              <w:rPr>
                <w:rFonts w:ascii="Arial" w:hAnsi="Arial" w:cs="Arial"/>
                <w:sz w:val="20"/>
                <w:szCs w:val="20"/>
              </w:rPr>
              <w:t xml:space="preserve"> one has been provided.</w:t>
            </w: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Completes online application</w:t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RIO sends application to School contact for allocation of Supervisor with research proposal, references, IELTS and qualifications.</w:t>
            </w: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Contact applicant to discuss research proposal further</w:t>
            </w:r>
            <w:r w:rsidR="00096A06">
              <w:rPr>
                <w:rFonts w:ascii="Arial" w:hAnsi="Arial" w:cs="Arial"/>
                <w:sz w:val="20"/>
                <w:szCs w:val="20"/>
              </w:rPr>
              <w:t xml:space="preserve"> and possible</w:t>
            </w:r>
            <w:r w:rsidRPr="004D4367">
              <w:rPr>
                <w:rFonts w:ascii="Arial" w:hAnsi="Arial" w:cs="Arial"/>
                <w:sz w:val="20"/>
                <w:szCs w:val="20"/>
              </w:rPr>
              <w:t xml:space="preserve"> appl</w:t>
            </w:r>
            <w:r w:rsidR="00096A06">
              <w:rPr>
                <w:rFonts w:ascii="Arial" w:hAnsi="Arial" w:cs="Arial"/>
                <w:sz w:val="20"/>
                <w:szCs w:val="20"/>
              </w:rPr>
              <w:t>ication</w:t>
            </w:r>
            <w:r w:rsidRPr="004D4367">
              <w:rPr>
                <w:rFonts w:ascii="Arial" w:hAnsi="Arial" w:cs="Arial"/>
                <w:sz w:val="20"/>
                <w:szCs w:val="20"/>
              </w:rPr>
              <w:t xml:space="preserve"> for ESRC or College Scholarship </w:t>
            </w: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Decide on type of offer:</w:t>
            </w: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Unconditional: everything in place and you want to supervise the applicant.</w:t>
            </w: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Conditional: good applicant but requires evidence of IELTS score/completion of masters/2</w:t>
            </w:r>
            <w:r w:rsidRPr="004D436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D4367">
              <w:rPr>
                <w:rFonts w:ascii="Arial" w:hAnsi="Arial" w:cs="Arial"/>
                <w:sz w:val="20"/>
                <w:szCs w:val="20"/>
              </w:rPr>
              <w:t xml:space="preserve"> reference.</w:t>
            </w: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If the application is not in your research area or you already have PhD student quota then pass the application back to School PGR Administrator.</w:t>
            </w: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School PGR Administrator updates MyCampus with offer information and RIO send the offer letter to the applicant. </w:t>
            </w: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Applicant uses MyCampus to accept/reject the offer</w:t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Once the applicant has accepted an unconditional offer he/she receives information from RIO about student accommodation and registration. </w:t>
            </w: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The Graduate School send a welcome email to all </w:t>
            </w:r>
            <w:proofErr w:type="gramStart"/>
            <w:r w:rsidRPr="004D4367">
              <w:rPr>
                <w:rFonts w:ascii="Arial" w:hAnsi="Arial" w:cs="Arial"/>
                <w:sz w:val="20"/>
                <w:szCs w:val="20"/>
              </w:rPr>
              <w:t>applicant</w:t>
            </w:r>
            <w:proofErr w:type="gramEnd"/>
            <w:r w:rsidRPr="004D4367">
              <w:rPr>
                <w:rFonts w:ascii="Arial" w:hAnsi="Arial" w:cs="Arial"/>
                <w:sz w:val="20"/>
                <w:szCs w:val="20"/>
              </w:rPr>
              <w:t xml:space="preserve"> who accept an unconditional offer informing them about induction and advising them to contact their Supervisor to agree research training requirements.</w:t>
            </w: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6E73A8" w:rsidP="00E92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2AEF" w:rsidRPr="004D4367">
              <w:rPr>
                <w:rFonts w:ascii="Arial" w:hAnsi="Arial" w:cs="Arial"/>
                <w:sz w:val="20"/>
                <w:szCs w:val="20"/>
              </w:rPr>
              <w:t xml:space="preserve">. During the period between the offer and the start date, maintain contact with your student and arrange to meet and greet when they arrive. </w:t>
            </w: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Set a date for the first Supervision meeting and agree research training requirements. </w:t>
            </w: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0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Attends PGR Induction and Research Training Week. </w:t>
            </w: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Completes Registration and pays fees. </w:t>
            </w: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20" w:rsidRPr="004D4367" w:rsidTr="004D4367">
        <w:tc>
          <w:tcPr>
            <w:tcW w:w="5778" w:type="dxa"/>
          </w:tcPr>
          <w:p w:rsidR="004D4367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4D4367" w:rsidRPr="004D4367" w:rsidRDefault="006E73A8" w:rsidP="004D4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D4367" w:rsidRPr="004D4367">
              <w:rPr>
                <w:rFonts w:ascii="Arial" w:hAnsi="Arial" w:cs="Arial"/>
                <w:sz w:val="20"/>
                <w:szCs w:val="20"/>
              </w:rPr>
              <w:t>. The first few Supervision Meetings should include:</w:t>
            </w:r>
          </w:p>
          <w:p w:rsidR="004D4367" w:rsidRPr="004D4367" w:rsidRDefault="004D4367" w:rsidP="004D436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A discussion of research plan, expectations and assumptions for the next 3 years. </w:t>
            </w:r>
          </w:p>
          <w:p w:rsidR="004D4367" w:rsidRPr="004D4367" w:rsidRDefault="004D4367" w:rsidP="004D436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Agreement of Supervision pattern – ideally one meeting per month. Your student should provide a written record of each meeting.</w:t>
            </w:r>
          </w:p>
          <w:p w:rsidR="004D4367" w:rsidRPr="004D4367" w:rsidRDefault="004D4367" w:rsidP="004D436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Be</w:t>
            </w:r>
            <w:r w:rsidR="00191FDA">
              <w:rPr>
                <w:rFonts w:ascii="Arial" w:hAnsi="Arial" w:cs="Arial"/>
                <w:sz w:val="20"/>
                <w:szCs w:val="20"/>
              </w:rPr>
              <w:t>gin</w:t>
            </w:r>
            <w:r w:rsidRPr="004D4367">
              <w:rPr>
                <w:rFonts w:ascii="Arial" w:hAnsi="Arial" w:cs="Arial"/>
                <w:sz w:val="20"/>
                <w:szCs w:val="20"/>
              </w:rPr>
              <w:t xml:space="preserve"> to construct a 3 year realistic plan and discuss requirements for Research Furth.</w:t>
            </w:r>
          </w:p>
          <w:p w:rsidR="004D4367" w:rsidRPr="004D4367" w:rsidRDefault="004D4367" w:rsidP="004D436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Help your student become aware of University and College policies on absence including suspension of studies, resources and opportunities. </w:t>
            </w:r>
          </w:p>
          <w:p w:rsidR="004D4367" w:rsidRPr="004D4367" w:rsidRDefault="004D4367" w:rsidP="004D436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Advise International Students on the requirements to demonstrate continuous engagement in studies. </w:t>
            </w:r>
          </w:p>
          <w:p w:rsidR="004D4367" w:rsidRPr="004D4367" w:rsidRDefault="004D4367" w:rsidP="004D436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Decide if ethical approval is required for the research and begin the application for approval process if required. </w:t>
            </w:r>
          </w:p>
          <w:p w:rsidR="004D4367" w:rsidRPr="004D4367" w:rsidRDefault="00E92AEF" w:rsidP="004D4367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If your student has a Tier 4 Visa, explain the importance of attending scheduled meeting and the action that will follow if a meeting is missed.</w:t>
            </w:r>
          </w:p>
        </w:tc>
        <w:tc>
          <w:tcPr>
            <w:tcW w:w="5954" w:type="dxa"/>
          </w:tcPr>
          <w:p w:rsidR="004D4367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367" w:rsidRDefault="004D4367" w:rsidP="00E92AEF">
      <w:pPr>
        <w:rPr>
          <w:rFonts w:ascii="Arial" w:hAnsi="Arial" w:cs="Arial"/>
          <w:sz w:val="20"/>
          <w:szCs w:val="20"/>
        </w:rPr>
      </w:pPr>
    </w:p>
    <w:p w:rsidR="004D4367" w:rsidRPr="004D4367" w:rsidRDefault="004D4367" w:rsidP="00E92A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778"/>
        <w:gridCol w:w="9214"/>
        <w:gridCol w:w="6158"/>
      </w:tblGrid>
      <w:tr w:rsidR="00E92AEF" w:rsidRPr="004D4367" w:rsidTr="004D4367">
        <w:tc>
          <w:tcPr>
            <w:tcW w:w="5778" w:type="dxa"/>
            <w:shd w:val="clear" w:color="auto" w:fill="548DD4" w:themeFill="text2" w:themeFillTint="99"/>
          </w:tcPr>
          <w:p w:rsidR="00E92AEF" w:rsidRPr="004D4367" w:rsidRDefault="00E92AEF" w:rsidP="004D4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367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9214" w:type="dxa"/>
            <w:shd w:val="clear" w:color="auto" w:fill="548DD4" w:themeFill="text2" w:themeFillTint="99"/>
          </w:tcPr>
          <w:p w:rsidR="00E92AEF" w:rsidRPr="004D4367" w:rsidRDefault="00E92AEF" w:rsidP="004D4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367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6158" w:type="dxa"/>
            <w:shd w:val="clear" w:color="auto" w:fill="548DD4" w:themeFill="text2" w:themeFillTint="99"/>
          </w:tcPr>
          <w:p w:rsidR="00E92AEF" w:rsidRPr="004D4367" w:rsidRDefault="00E92AEF" w:rsidP="004D4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367">
              <w:rPr>
                <w:rFonts w:ascii="Arial" w:hAnsi="Arial" w:cs="Arial"/>
                <w:b/>
                <w:sz w:val="20"/>
                <w:szCs w:val="20"/>
              </w:rPr>
              <w:t>Graduate School/School/RIO</w:t>
            </w: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tabs>
                <w:tab w:val="left" w:pos="2897"/>
              </w:tabs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Provides a written report of each meeting</w:t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In March each year, the Graduate School send populated Progress Review Forms to the School to facilitate the Annual Review Process. </w:t>
            </w: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6E73A8" w:rsidP="00E92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92AEF" w:rsidRPr="004D4367">
              <w:rPr>
                <w:rFonts w:ascii="Arial" w:hAnsi="Arial" w:cs="Arial"/>
                <w:sz w:val="20"/>
                <w:szCs w:val="20"/>
              </w:rPr>
              <w:t xml:space="preserve">. The Annual Progress Reviews take place during April and May each year for all students. </w:t>
            </w:r>
          </w:p>
          <w:p w:rsidR="00E92AEF" w:rsidRPr="004D4367" w:rsidRDefault="00E92AEF" w:rsidP="00E92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Provide the student with an opportunity to present, to a panel, aspects of their work and achievements for the session.</w:t>
            </w:r>
          </w:p>
          <w:p w:rsidR="00E92AEF" w:rsidRPr="004D4367" w:rsidRDefault="00E92AEF" w:rsidP="00E92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Highlight any problems experienced by either student or supervisor during the session.</w:t>
            </w:r>
          </w:p>
          <w:p w:rsidR="00E92AEF" w:rsidRPr="004D4367" w:rsidRDefault="00E92AEF" w:rsidP="00E92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Provide written and verbal feedback to the student on his or her progress throughout the session and facilitate the completion of the progress review form.</w:t>
            </w:r>
          </w:p>
          <w:p w:rsidR="00E92AEF" w:rsidRPr="004D4367" w:rsidRDefault="00E92AEF" w:rsidP="00E92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Review research training skills and produce a plan with the student for skills training for the next session</w:t>
            </w:r>
          </w:p>
          <w:p w:rsidR="00E92AEF" w:rsidRPr="004D4367" w:rsidRDefault="00E92AEF" w:rsidP="00E92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Discuss with students their use of PDP, </w:t>
            </w:r>
            <w:proofErr w:type="spellStart"/>
            <w:r w:rsidRPr="004D4367">
              <w:rPr>
                <w:rFonts w:ascii="Arial" w:hAnsi="Arial" w:cs="Arial"/>
                <w:sz w:val="20"/>
                <w:szCs w:val="20"/>
              </w:rPr>
              <w:t>Mahara</w:t>
            </w:r>
            <w:proofErr w:type="spellEnd"/>
            <w:r w:rsidRPr="004D4367">
              <w:rPr>
                <w:rFonts w:ascii="Arial" w:hAnsi="Arial" w:cs="Arial"/>
                <w:sz w:val="20"/>
                <w:szCs w:val="20"/>
              </w:rPr>
              <w:t xml:space="preserve"> tools etc.</w:t>
            </w:r>
          </w:p>
          <w:p w:rsidR="00E92AEF" w:rsidRPr="004D4367" w:rsidRDefault="00E92AEF" w:rsidP="00E92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Confirm, or otherwise student’s ability to progress to next year of study.</w:t>
            </w:r>
          </w:p>
          <w:p w:rsidR="00E92AEF" w:rsidRPr="004D4367" w:rsidRDefault="00E92AEF" w:rsidP="00E92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Gauge ability of student to complete within timescale (for further details see PGR Code of Practice) </w:t>
            </w:r>
          </w:p>
          <w:p w:rsidR="00E92AEF" w:rsidRPr="004D4367" w:rsidRDefault="00E92AEF" w:rsidP="00E92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Process repeated in year 2.</w:t>
            </w:r>
          </w:p>
          <w:p w:rsidR="00E92AEF" w:rsidRPr="004D4367" w:rsidRDefault="00E92AEF" w:rsidP="00E92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Progress review in year 3 should assess ability of student to complete on time.  If further period required, decide whether: student is best advised to register as thesis pending with reduced fee or to register as full/part-time for a further period. A time bound thesis pending plan should be submitted</w:t>
            </w: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Prior to the annual review, your student will complete their review form</w:t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Student attends the review and makes a presentation</w:t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The Graduate School updates each students record to allow for registration next session. </w:t>
            </w: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6E73A8" w:rsidP="00CC2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92AEF" w:rsidRPr="004D4367">
              <w:rPr>
                <w:rFonts w:ascii="Arial" w:hAnsi="Arial" w:cs="Arial"/>
                <w:sz w:val="20"/>
                <w:szCs w:val="20"/>
              </w:rPr>
              <w:t>. Towards end of 3rd year start thinking about potential convener, internal and ex</w:t>
            </w:r>
            <w:r w:rsidR="00CC2889">
              <w:rPr>
                <w:rFonts w:ascii="Arial" w:hAnsi="Arial" w:cs="Arial"/>
                <w:sz w:val="20"/>
                <w:szCs w:val="20"/>
              </w:rPr>
              <w:t xml:space="preserve">ternal examiners for the thesis. </w:t>
            </w:r>
            <w:r w:rsidR="00E92AEF" w:rsidRPr="004D4367">
              <w:rPr>
                <w:rFonts w:ascii="Arial" w:hAnsi="Arial" w:cs="Arial"/>
                <w:sz w:val="20"/>
                <w:szCs w:val="20"/>
              </w:rPr>
              <w:t>Spend time reviewing drafts of the thesis and advise student when it is ready for submission.</w:t>
            </w: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Student submits their Intention to Submit Form to the Graduate School.</w:t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E92AEF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The Graduate School send a blank Nomination of the Committee of Examiners form to the students Supervisors for completion. </w:t>
            </w: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Three copies of the soft bound thesis should be submitted to the Graduate School before the expected thesis submission date.</w:t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AEF" w:rsidRPr="004D4367" w:rsidTr="004D4367">
        <w:tc>
          <w:tcPr>
            <w:tcW w:w="577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4D4367" w:rsidRPr="004D4367" w:rsidRDefault="006E73A8" w:rsidP="004D4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D4367" w:rsidRPr="004D4367">
              <w:rPr>
                <w:rFonts w:ascii="Arial" w:hAnsi="Arial" w:cs="Arial"/>
                <w:sz w:val="20"/>
                <w:szCs w:val="20"/>
              </w:rPr>
              <w:t>. Intention to Submit form should be submitted 3 months before submission deadline.</w:t>
            </w:r>
          </w:p>
          <w:p w:rsidR="004D4367" w:rsidRPr="004D4367" w:rsidRDefault="004D4367" w:rsidP="004D4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367" w:rsidRPr="004D4367" w:rsidRDefault="004D4367" w:rsidP="004D4367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The Nomination of the Committee of Examiners form should be submitted as soon as possible after this. </w:t>
            </w:r>
          </w:p>
          <w:p w:rsidR="004D4367" w:rsidRPr="004D4367" w:rsidRDefault="004D4367" w:rsidP="004D4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367" w:rsidRPr="004D4367" w:rsidRDefault="004D4367" w:rsidP="004D4367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 xml:space="preserve">Help prepare student for viva </w:t>
            </w:r>
          </w:p>
          <w:p w:rsidR="004D4367" w:rsidRPr="004D4367" w:rsidRDefault="004D4367" w:rsidP="004D4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367" w:rsidRPr="004D4367" w:rsidRDefault="00CC2889" w:rsidP="004D4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4D4367" w:rsidRPr="004D4367">
              <w:rPr>
                <w:rFonts w:ascii="Arial" w:hAnsi="Arial" w:cs="Arial"/>
                <w:sz w:val="20"/>
                <w:szCs w:val="20"/>
              </w:rPr>
              <w:t>Attend the viva if requested by your student as an observer only.</w:t>
            </w:r>
          </w:p>
          <w:p w:rsidR="004D4367" w:rsidRPr="004D4367" w:rsidRDefault="004D4367" w:rsidP="004D4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AEF" w:rsidRPr="004D4367" w:rsidRDefault="004D4367" w:rsidP="004D4367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Committee of Examiners’ convenor sends result of viva to Graduate School.</w:t>
            </w:r>
          </w:p>
        </w:tc>
        <w:tc>
          <w:tcPr>
            <w:tcW w:w="6158" w:type="dxa"/>
          </w:tcPr>
          <w:p w:rsidR="00E92AEF" w:rsidRPr="004D4367" w:rsidRDefault="00E92AEF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67" w:rsidRPr="004D4367" w:rsidTr="004D4367">
        <w:tc>
          <w:tcPr>
            <w:tcW w:w="5778" w:type="dxa"/>
          </w:tcPr>
          <w:p w:rsidR="004D4367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AEEF3" w:themeFill="accent5" w:themeFillTint="33"/>
          </w:tcPr>
          <w:p w:rsidR="004D4367" w:rsidRPr="004D4367" w:rsidRDefault="004D4367" w:rsidP="004D43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4D4367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The Graduate School advise the student of the Viva outcome.</w:t>
            </w:r>
          </w:p>
        </w:tc>
      </w:tr>
      <w:tr w:rsidR="004D4367" w:rsidRPr="004D4367" w:rsidTr="004D4367">
        <w:tc>
          <w:tcPr>
            <w:tcW w:w="5778" w:type="dxa"/>
          </w:tcPr>
          <w:p w:rsidR="004D4367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Complete any corrections and submit them to the Graduate School</w:t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4D4367" w:rsidRPr="004D4367" w:rsidRDefault="00CC2889" w:rsidP="004D4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thesis for student before corrections are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  <w:tc>
          <w:tcPr>
            <w:tcW w:w="6158" w:type="dxa"/>
          </w:tcPr>
          <w:p w:rsidR="004D4367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The Graduate School forward corrections to the examiners and wait for approval.</w:t>
            </w:r>
          </w:p>
        </w:tc>
      </w:tr>
      <w:tr w:rsidR="004D4367" w:rsidRPr="004D4367" w:rsidTr="004D4367">
        <w:trPr>
          <w:trHeight w:val="756"/>
        </w:trPr>
        <w:tc>
          <w:tcPr>
            <w:tcW w:w="5778" w:type="dxa"/>
          </w:tcPr>
          <w:p w:rsidR="004D4367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Student submits hard bound copy of thesis to Graduate School and uploads electronic copy to Library.</w:t>
            </w:r>
          </w:p>
        </w:tc>
        <w:tc>
          <w:tcPr>
            <w:tcW w:w="9214" w:type="dxa"/>
            <w:shd w:val="clear" w:color="auto" w:fill="DAEEF3" w:themeFill="accent5" w:themeFillTint="33"/>
          </w:tcPr>
          <w:p w:rsidR="004D4367" w:rsidRPr="004D4367" w:rsidRDefault="004D4367" w:rsidP="004D43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8" w:type="dxa"/>
          </w:tcPr>
          <w:p w:rsidR="004D4367" w:rsidRPr="004D4367" w:rsidRDefault="004D4367" w:rsidP="00E92AEF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The student is then issued with their award letter and their MyCampus record is updated following completion of final stages email.</w:t>
            </w:r>
          </w:p>
        </w:tc>
      </w:tr>
    </w:tbl>
    <w:p w:rsidR="00E92AEF" w:rsidRPr="004D4367" w:rsidRDefault="00E92AEF" w:rsidP="00E92AEF">
      <w:pPr>
        <w:rPr>
          <w:rFonts w:ascii="Arial" w:hAnsi="Arial" w:cs="Arial"/>
          <w:sz w:val="20"/>
          <w:szCs w:val="20"/>
        </w:rPr>
      </w:pPr>
    </w:p>
    <w:sectPr w:rsidR="00E92AEF" w:rsidRPr="004D4367" w:rsidSect="00E92AEF">
      <w:headerReference w:type="default" r:id="rId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CB" w:rsidRDefault="00E256CB" w:rsidP="00E92AEF">
      <w:pPr>
        <w:spacing w:after="0" w:line="240" w:lineRule="auto"/>
      </w:pPr>
      <w:r>
        <w:separator/>
      </w:r>
    </w:p>
  </w:endnote>
  <w:endnote w:type="continuationSeparator" w:id="0">
    <w:p w:rsidR="00E256CB" w:rsidRDefault="00E256CB" w:rsidP="00E9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CB" w:rsidRDefault="00E256CB" w:rsidP="00E92AEF">
      <w:pPr>
        <w:spacing w:after="0" w:line="240" w:lineRule="auto"/>
      </w:pPr>
      <w:r>
        <w:separator/>
      </w:r>
    </w:p>
  </w:footnote>
  <w:footnote w:type="continuationSeparator" w:id="0">
    <w:p w:rsidR="00E256CB" w:rsidRDefault="00E256CB" w:rsidP="00E9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EF" w:rsidRDefault="00596920">
    <w:pPr>
      <w:pStyle w:val="Header"/>
    </w:pPr>
    <w:r w:rsidRPr="00596920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-135890</wp:posOffset>
          </wp:positionV>
          <wp:extent cx="1643380" cy="1104900"/>
          <wp:effectExtent l="0" t="0" r="0" b="0"/>
          <wp:wrapTight wrapText="bothSides">
            <wp:wrapPolygon edited="0">
              <wp:start x="0" y="0"/>
              <wp:lineTo x="0" y="21228"/>
              <wp:lineTo x="11017" y="21228"/>
              <wp:lineTo x="11518" y="19738"/>
              <wp:lineTo x="10015" y="18621"/>
              <wp:lineTo x="21283" y="17131"/>
              <wp:lineTo x="21283" y="745"/>
              <wp:lineTo x="18529" y="0"/>
              <wp:lineTo x="0" y="0"/>
            </wp:wrapPolygon>
          </wp:wrapTight>
          <wp:docPr id="2" name="Picture 2" descr="C:\Users\cm219u\Desktop\Colle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2AEF" w:rsidRDefault="00E92A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3043"/>
    <w:multiLevelType w:val="hybridMultilevel"/>
    <w:tmpl w:val="CAB0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1221"/>
    <w:multiLevelType w:val="hybridMultilevel"/>
    <w:tmpl w:val="D3CCE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E56F8"/>
    <w:multiLevelType w:val="hybridMultilevel"/>
    <w:tmpl w:val="42E8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504EF"/>
    <w:multiLevelType w:val="hybridMultilevel"/>
    <w:tmpl w:val="F78C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84398"/>
    <w:multiLevelType w:val="hybridMultilevel"/>
    <w:tmpl w:val="A0EAD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245D"/>
    <w:multiLevelType w:val="hybridMultilevel"/>
    <w:tmpl w:val="5288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C4D7C"/>
    <w:multiLevelType w:val="hybridMultilevel"/>
    <w:tmpl w:val="CD109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2AEF"/>
    <w:rsid w:val="00096A06"/>
    <w:rsid w:val="001110F2"/>
    <w:rsid w:val="00191FDA"/>
    <w:rsid w:val="00295EC0"/>
    <w:rsid w:val="004D4367"/>
    <w:rsid w:val="00596920"/>
    <w:rsid w:val="006E73A8"/>
    <w:rsid w:val="00813C33"/>
    <w:rsid w:val="00CC2889"/>
    <w:rsid w:val="00E256CB"/>
    <w:rsid w:val="00E92AEF"/>
    <w:rsid w:val="00F9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AEF"/>
  </w:style>
  <w:style w:type="paragraph" w:styleId="Footer">
    <w:name w:val="footer"/>
    <w:basedOn w:val="Normal"/>
    <w:link w:val="FooterChar"/>
    <w:uiPriority w:val="99"/>
    <w:unhideWhenUsed/>
    <w:rsid w:val="00E92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EF"/>
  </w:style>
  <w:style w:type="paragraph" w:styleId="BalloonText">
    <w:name w:val="Balloon Text"/>
    <w:basedOn w:val="Normal"/>
    <w:link w:val="BalloonTextChar"/>
    <w:uiPriority w:val="99"/>
    <w:semiHidden/>
    <w:unhideWhenUsed/>
    <w:rsid w:val="00E9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AEF"/>
  </w:style>
  <w:style w:type="paragraph" w:styleId="Footer">
    <w:name w:val="footer"/>
    <w:basedOn w:val="Normal"/>
    <w:link w:val="FooterChar"/>
    <w:uiPriority w:val="99"/>
    <w:unhideWhenUsed/>
    <w:rsid w:val="00E92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EF"/>
  </w:style>
  <w:style w:type="paragraph" w:styleId="BalloonText">
    <w:name w:val="Balloon Text"/>
    <w:basedOn w:val="Normal"/>
    <w:link w:val="BalloonTextChar"/>
    <w:uiPriority w:val="99"/>
    <w:semiHidden/>
    <w:unhideWhenUsed/>
    <w:rsid w:val="00E9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cm219u</dc:creator>
  <cp:lastModifiedBy>fg28a</cp:lastModifiedBy>
  <cp:revision>3</cp:revision>
  <cp:lastPrinted>2015-01-27T11:28:00Z</cp:lastPrinted>
  <dcterms:created xsi:type="dcterms:W3CDTF">2015-06-01T20:55:00Z</dcterms:created>
  <dcterms:modified xsi:type="dcterms:W3CDTF">2015-06-02T07:58:00Z</dcterms:modified>
</cp:coreProperties>
</file>