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3BEE" w14:textId="77777777" w:rsidR="00105A99" w:rsidRPr="009E1FCE" w:rsidRDefault="00105A99" w:rsidP="00105A99">
      <w:pPr>
        <w:rPr>
          <w:rFonts w:cstheme="minorHAnsi"/>
        </w:rPr>
      </w:pPr>
      <w:r w:rsidRPr="009E1FCE">
        <w:rPr>
          <w:rFonts w:cstheme="minorHAnsi"/>
          <w:color w:val="FFFFFF"/>
        </w:rPr>
        <w:tab/>
      </w:r>
      <w:r w:rsidRPr="009E1FCE">
        <w:rPr>
          <w:rFonts w:cstheme="minorHAnsi"/>
          <w:color w:val="FFFFFF"/>
        </w:rPr>
        <w:tab/>
      </w:r>
      <w:r w:rsidRPr="009E1FCE">
        <w:rPr>
          <w:rFonts w:cstheme="minorHAnsi"/>
          <w:color w:val="FFFFFF"/>
        </w:rPr>
        <w:tab/>
      </w:r>
      <w:r w:rsidRPr="009E1FCE">
        <w:rPr>
          <w:rFonts w:cstheme="minorHAnsi"/>
          <w:color w:val="FFFFFF"/>
        </w:rPr>
        <w:tab/>
      </w:r>
      <w:r w:rsidRPr="009E1FCE">
        <w:rPr>
          <w:rFonts w:cstheme="minorHAnsi"/>
          <w:color w:val="FFFFFF"/>
        </w:rPr>
        <w:tab/>
        <w:t xml:space="preserve"> </w:t>
      </w:r>
      <w:r w:rsidRPr="009E1FCE">
        <w:rPr>
          <w:rFonts w:cstheme="minorHAnsi"/>
          <w:color w:val="FFFFFF"/>
        </w:rPr>
        <w:tab/>
      </w:r>
      <w:r w:rsidRPr="009E1FCE">
        <w:rPr>
          <w:rFonts w:cstheme="minorHAnsi"/>
          <w:color w:val="FFFFFF"/>
        </w:rPr>
        <w:tab/>
      </w:r>
      <w:r w:rsidRPr="009E1FCE">
        <w:rPr>
          <w:rFonts w:cstheme="minorHAnsi"/>
          <w:color w:val="FFFFFF"/>
        </w:rPr>
        <w:tab/>
      </w:r>
    </w:p>
    <w:p w14:paraId="3D82C9A0" w14:textId="12903FEA" w:rsidR="00105A99" w:rsidRPr="009E1FCE" w:rsidRDefault="00105A99" w:rsidP="00105A99">
      <w:pPr>
        <w:rPr>
          <w:rFonts w:cstheme="minorHAnsi"/>
        </w:rPr>
      </w:pPr>
      <w:r w:rsidRPr="009E1FCE">
        <w:rPr>
          <w:rFonts w:cstheme="minorHAnsi"/>
          <w:b/>
        </w:rPr>
        <w:t>ESRC Impact Acceleration Account –</w:t>
      </w:r>
      <w:r w:rsidR="009F369C">
        <w:rPr>
          <w:rFonts w:cstheme="minorHAnsi"/>
          <w:b/>
        </w:rPr>
        <w:t xml:space="preserve"> Applicant Guidance </w:t>
      </w:r>
    </w:p>
    <w:p w14:paraId="02898A18" w14:textId="58FCF88F" w:rsidR="00105A99" w:rsidRPr="00980571" w:rsidRDefault="00105A99" w:rsidP="00980571">
      <w:pPr>
        <w:pStyle w:val="ListParagraph"/>
        <w:numPr>
          <w:ilvl w:val="0"/>
          <w:numId w:val="4"/>
        </w:numPr>
        <w:tabs>
          <w:tab w:val="left" w:pos="426"/>
        </w:tabs>
        <w:jc w:val="both"/>
        <w:rPr>
          <w:rFonts w:cstheme="minorHAnsi"/>
        </w:rPr>
      </w:pPr>
      <w:r w:rsidRPr="009E1FCE">
        <w:rPr>
          <w:rFonts w:cstheme="minorHAnsi"/>
          <w:b/>
        </w:rPr>
        <w:t xml:space="preserve">Background </w:t>
      </w:r>
    </w:p>
    <w:p w14:paraId="71E5F3BA" w14:textId="63E2AEA6" w:rsidR="00640B7A" w:rsidRPr="006E2C3B" w:rsidRDefault="00105A99" w:rsidP="00036E6C">
      <w:pPr>
        <w:tabs>
          <w:tab w:val="left" w:pos="426"/>
        </w:tabs>
        <w:jc w:val="both"/>
        <w:rPr>
          <w:rFonts w:cstheme="minorHAnsi"/>
        </w:rPr>
      </w:pPr>
      <w:r w:rsidRPr="006E2C3B">
        <w:rPr>
          <w:rFonts w:cstheme="minorHAnsi"/>
        </w:rPr>
        <w:t>The Economic and Social Research Council Impact Acceleration Account (ESRC IAA) was awarded to the University of Glasgow (</w:t>
      </w:r>
      <w:proofErr w:type="spellStart"/>
      <w:r w:rsidRPr="006E2C3B">
        <w:rPr>
          <w:rFonts w:cstheme="minorHAnsi"/>
        </w:rPr>
        <w:t>Uo</w:t>
      </w:r>
      <w:r w:rsidR="00BC493E" w:rsidRPr="006E2C3B">
        <w:rPr>
          <w:rFonts w:cstheme="minorHAnsi"/>
        </w:rPr>
        <w:t>f</w:t>
      </w:r>
      <w:r w:rsidRPr="006E2C3B">
        <w:rPr>
          <w:rFonts w:cstheme="minorHAnsi"/>
        </w:rPr>
        <w:t>G</w:t>
      </w:r>
      <w:proofErr w:type="spellEnd"/>
      <w:r w:rsidRPr="006E2C3B">
        <w:rPr>
          <w:rFonts w:cstheme="minorHAnsi"/>
        </w:rPr>
        <w:t>) to support the generation and development of non-academic impact from social sciences research</w:t>
      </w:r>
      <w:r w:rsidR="00197271">
        <w:rPr>
          <w:rFonts w:cstheme="minorHAnsi"/>
        </w:rPr>
        <w:t xml:space="preserve">. </w:t>
      </w:r>
    </w:p>
    <w:p w14:paraId="556CBC3E" w14:textId="217C2379" w:rsidR="00413FEB" w:rsidRPr="006E2C3B" w:rsidRDefault="00640B7A" w:rsidP="00036E6C">
      <w:pPr>
        <w:tabs>
          <w:tab w:val="left" w:pos="426"/>
        </w:tabs>
        <w:jc w:val="both"/>
        <w:rPr>
          <w:rFonts w:eastAsia="Times New Roman" w:cstheme="minorHAnsi"/>
        </w:rPr>
      </w:pPr>
      <w:r w:rsidRPr="006E2C3B">
        <w:rPr>
          <w:rFonts w:cstheme="minorHAnsi"/>
        </w:rPr>
        <w:t xml:space="preserve">The </w:t>
      </w:r>
      <w:r w:rsidR="00413FEB" w:rsidRPr="006E2C3B">
        <w:rPr>
          <w:rFonts w:cstheme="minorHAnsi"/>
        </w:rPr>
        <w:t>ESRC IAA</w:t>
      </w:r>
      <w:r w:rsidRPr="006E2C3B">
        <w:rPr>
          <w:rFonts w:cstheme="minorHAnsi"/>
        </w:rPr>
        <w:t xml:space="preserve"> supports projects with the potential for all types of non-academic impact across </w:t>
      </w:r>
      <w:r w:rsidRPr="006E2C3B">
        <w:rPr>
          <w:rFonts w:eastAsia="Times New Roman" w:cstheme="minorHAnsi"/>
        </w:rPr>
        <w:t>public, private or third sectors.</w:t>
      </w:r>
      <w:r w:rsidR="001325F6">
        <w:rPr>
          <w:rFonts w:eastAsia="Times New Roman" w:cstheme="minorHAnsi"/>
        </w:rPr>
        <w:t xml:space="preserve"> </w:t>
      </w:r>
      <w:r w:rsidR="00C331C5">
        <w:rPr>
          <w:rFonts w:eastAsia="Times New Roman" w:cstheme="minorHAnsi"/>
        </w:rPr>
        <w:t xml:space="preserve">The IAA does not fund new </w:t>
      </w:r>
      <w:r w:rsidR="00D01D2D">
        <w:rPr>
          <w:rFonts w:eastAsia="Times New Roman" w:cstheme="minorHAnsi"/>
        </w:rPr>
        <w:t xml:space="preserve">research, but projects should be rooted in University of Glasgow </w:t>
      </w:r>
      <w:r w:rsidR="005F177D">
        <w:rPr>
          <w:rFonts w:eastAsia="Times New Roman" w:cstheme="minorHAnsi"/>
        </w:rPr>
        <w:t>research and</w:t>
      </w:r>
      <w:r w:rsidR="00D01D2D">
        <w:rPr>
          <w:rFonts w:eastAsia="Times New Roman" w:cstheme="minorHAnsi"/>
        </w:rPr>
        <w:t xml:space="preserve"> aim to </w:t>
      </w:r>
      <w:r w:rsidR="000E0C75">
        <w:rPr>
          <w:rFonts w:eastAsia="Times New Roman" w:cstheme="minorHAnsi"/>
        </w:rPr>
        <w:t xml:space="preserve">enhance the impact of research through knowledge exchange. </w:t>
      </w:r>
    </w:p>
    <w:p w14:paraId="1AF734B4" w14:textId="1F302A93" w:rsidR="00640B7A" w:rsidRPr="006E2C3B" w:rsidRDefault="00640B7A" w:rsidP="00036E6C">
      <w:pPr>
        <w:tabs>
          <w:tab w:val="left" w:pos="426"/>
        </w:tabs>
        <w:jc w:val="both"/>
        <w:rPr>
          <w:rFonts w:cstheme="minorHAnsi"/>
        </w:rPr>
      </w:pPr>
      <w:r w:rsidRPr="006E2C3B">
        <w:rPr>
          <w:rFonts w:cstheme="minorHAnsi"/>
        </w:rPr>
        <w:t>Deadlines for all</w:t>
      </w:r>
      <w:r w:rsidR="004908C5">
        <w:rPr>
          <w:rFonts w:cstheme="minorHAnsi"/>
        </w:rPr>
        <w:t xml:space="preserve"> ESRC</w:t>
      </w:r>
      <w:r w:rsidRPr="006E2C3B">
        <w:rPr>
          <w:rFonts w:cstheme="minorHAnsi"/>
        </w:rPr>
        <w:t xml:space="preserve"> IAA schemes are available on the </w:t>
      </w:r>
      <w:hyperlink r:id="rId11" w:history="1">
        <w:r w:rsidRPr="006E2C3B">
          <w:rPr>
            <w:rStyle w:val="Hyperlink"/>
            <w:rFonts w:cstheme="minorHAnsi"/>
          </w:rPr>
          <w:t>College webpages</w:t>
        </w:r>
      </w:hyperlink>
      <w:r w:rsidRPr="006E2C3B">
        <w:rPr>
          <w:rFonts w:cstheme="minorHAnsi"/>
        </w:rPr>
        <w:t>.</w:t>
      </w:r>
      <w:r w:rsidR="00CE4D7D">
        <w:rPr>
          <w:rFonts w:cstheme="minorHAnsi"/>
        </w:rPr>
        <w:t xml:space="preserve"> It is expect</w:t>
      </w:r>
      <w:r w:rsidR="00375E06">
        <w:rPr>
          <w:rFonts w:cstheme="minorHAnsi"/>
        </w:rPr>
        <w:t>ed</w:t>
      </w:r>
      <w:r w:rsidR="00CE4D7D">
        <w:rPr>
          <w:rFonts w:cstheme="minorHAnsi"/>
        </w:rPr>
        <w:t xml:space="preserve"> that there will be Open Calls for IAA funding in the Spring and Autumn of each year. </w:t>
      </w:r>
    </w:p>
    <w:p w14:paraId="257E159F" w14:textId="30C67D84" w:rsidR="00640B7A" w:rsidRDefault="00640B7A" w:rsidP="00036E6C">
      <w:pPr>
        <w:tabs>
          <w:tab w:val="left" w:pos="426"/>
        </w:tabs>
        <w:jc w:val="both"/>
        <w:rPr>
          <w:rFonts w:cstheme="minorHAnsi"/>
        </w:rPr>
      </w:pPr>
      <w:r w:rsidRPr="006E2C3B">
        <w:rPr>
          <w:rFonts w:cstheme="minorHAnsi"/>
        </w:rPr>
        <w:t xml:space="preserve">Guidance is provided within this document, however additional advice on eligibility and support with the drafting of applications is provided by the College’s KE &amp; Impact Team. To access support, please contact: </w:t>
      </w:r>
      <w:hyperlink r:id="rId12" w:history="1">
        <w:r w:rsidRPr="006E2C3B">
          <w:rPr>
            <w:rStyle w:val="Hyperlink"/>
            <w:rFonts w:cstheme="minorHAnsi"/>
          </w:rPr>
          <w:t>socsci-esrc-iaa@glasgow.ac.uk</w:t>
        </w:r>
      </w:hyperlink>
      <w:r w:rsidRPr="006E2C3B">
        <w:rPr>
          <w:rFonts w:cstheme="minorHAnsi"/>
        </w:rPr>
        <w:t>.</w:t>
      </w:r>
      <w:r w:rsidR="00F662A0" w:rsidRPr="006E2C3B">
        <w:rPr>
          <w:rFonts w:cstheme="minorHAnsi"/>
        </w:rPr>
        <w:t xml:space="preserve"> It is strongly recommended that </w:t>
      </w:r>
      <w:r w:rsidR="00980571">
        <w:rPr>
          <w:rFonts w:cstheme="minorHAnsi"/>
        </w:rPr>
        <w:t xml:space="preserve">applicants take up this support. </w:t>
      </w:r>
    </w:p>
    <w:p w14:paraId="62A0525F" w14:textId="4B777B0E" w:rsidR="00A56669" w:rsidRDefault="00A56669" w:rsidP="00036E6C">
      <w:pPr>
        <w:tabs>
          <w:tab w:val="left" w:pos="426"/>
        </w:tabs>
        <w:jc w:val="both"/>
        <w:rPr>
          <w:highlight w:val="yellow"/>
        </w:rPr>
      </w:pPr>
      <w:r w:rsidRPr="13211382">
        <w:t xml:space="preserve">Funding is currently available under two streams: the User Engagement Fund </w:t>
      </w:r>
      <w:r w:rsidR="00F53DC2" w:rsidRPr="13211382">
        <w:t xml:space="preserve">and the </w:t>
      </w:r>
      <w:proofErr w:type="gramStart"/>
      <w:r w:rsidR="00F53DC2" w:rsidRPr="13211382">
        <w:t>Follow on</w:t>
      </w:r>
      <w:proofErr w:type="gramEnd"/>
      <w:r w:rsidR="00F53DC2" w:rsidRPr="13211382">
        <w:t xml:space="preserve"> Fund</w:t>
      </w:r>
      <w:r w:rsidR="00F53DC2" w:rsidRPr="00A741EC">
        <w:t xml:space="preserve">. </w:t>
      </w:r>
      <w:r w:rsidR="002F565C" w:rsidRPr="00036E6C">
        <w:t xml:space="preserve">Projects </w:t>
      </w:r>
      <w:r w:rsidR="004C7FBF" w:rsidRPr="00036E6C">
        <w:t>that invol</w:t>
      </w:r>
      <w:r w:rsidR="00922CED" w:rsidRPr="00036E6C">
        <w:t xml:space="preserve">ve a mobility element such as an inward or outward placement </w:t>
      </w:r>
      <w:r w:rsidR="004E7FE7" w:rsidRPr="00036E6C">
        <w:t xml:space="preserve">are welcome </w:t>
      </w:r>
      <w:r w:rsidR="00447A2C" w:rsidRPr="00036E6C">
        <w:t xml:space="preserve">within either stream. </w:t>
      </w:r>
      <w:r w:rsidR="28C7EAD2" w:rsidRPr="00036E6C">
        <w:t xml:space="preserve">ECR mobility is </w:t>
      </w:r>
      <w:r w:rsidR="48EDA2E0" w:rsidRPr="00036E6C">
        <w:t>an area of particular focus</w:t>
      </w:r>
      <w:r w:rsidR="5B7A31A1" w:rsidRPr="00036E6C">
        <w:t>,</w:t>
      </w:r>
      <w:r w:rsidR="0B0354BB" w:rsidRPr="00036E6C">
        <w:t xml:space="preserve"> and</w:t>
      </w:r>
      <w:r w:rsidR="604DA2C4" w:rsidRPr="00036E6C">
        <w:t xml:space="preserve"> </w:t>
      </w:r>
      <w:r w:rsidR="0DD27C9A" w:rsidRPr="00036E6C">
        <w:t>w</w:t>
      </w:r>
      <w:r w:rsidR="48EDA2E0" w:rsidRPr="00036E6C">
        <w:t xml:space="preserve">e </w:t>
      </w:r>
      <w:r w:rsidR="28C7EAD2" w:rsidRPr="00036E6C">
        <w:t xml:space="preserve">explicitly encourage </w:t>
      </w:r>
      <w:r w:rsidR="7ED34C56" w:rsidRPr="00036E6C">
        <w:t xml:space="preserve">applicants </w:t>
      </w:r>
      <w:r w:rsidR="28C7EAD2" w:rsidRPr="00036E6C">
        <w:t xml:space="preserve">to </w:t>
      </w:r>
      <w:r w:rsidR="0FF255B8" w:rsidRPr="00036E6C">
        <w:t xml:space="preserve">consult with the KE &amp; Impact Team to </w:t>
      </w:r>
      <w:r w:rsidR="6EA7AB8E" w:rsidRPr="00036E6C">
        <w:t>explore</w:t>
      </w:r>
      <w:r w:rsidR="4610CB67" w:rsidRPr="00036E6C">
        <w:t xml:space="preserve"> EC</w:t>
      </w:r>
      <w:r w:rsidR="62EA2344" w:rsidRPr="00036E6C">
        <w:t xml:space="preserve">R placement </w:t>
      </w:r>
      <w:r w:rsidR="28C7EAD2" w:rsidRPr="00036E6C">
        <w:t xml:space="preserve">as a </w:t>
      </w:r>
      <w:proofErr w:type="gramStart"/>
      <w:r w:rsidR="5ECD623D" w:rsidRPr="00036E6C">
        <w:t>K</w:t>
      </w:r>
      <w:r w:rsidR="2A553E27" w:rsidRPr="00036E6C">
        <w:t>nowledge</w:t>
      </w:r>
      <w:proofErr w:type="gramEnd"/>
      <w:r w:rsidR="2A553E27" w:rsidRPr="00036E6C">
        <w:t xml:space="preserve"> </w:t>
      </w:r>
      <w:r w:rsidR="19F354DE" w:rsidRPr="00036E6C">
        <w:t>E</w:t>
      </w:r>
      <w:r w:rsidR="2A553E27" w:rsidRPr="00036E6C">
        <w:t>xchange</w:t>
      </w:r>
      <w:r w:rsidR="58F7DA7E" w:rsidRPr="00036E6C">
        <w:t xml:space="preserve"> </w:t>
      </w:r>
      <w:r w:rsidRPr="00036E6C">
        <w:t>pathway</w:t>
      </w:r>
      <w:r w:rsidR="2A04AB6F" w:rsidRPr="00036E6C">
        <w:t>.</w:t>
      </w:r>
    </w:p>
    <w:p w14:paraId="2ED379D8" w14:textId="3801952E" w:rsidR="00FB5FDA" w:rsidRPr="00FB5FDA" w:rsidRDefault="00FB5FDA" w:rsidP="00036E6C">
      <w:pPr>
        <w:pStyle w:val="ListParagraph"/>
        <w:numPr>
          <w:ilvl w:val="0"/>
          <w:numId w:val="4"/>
        </w:numPr>
        <w:tabs>
          <w:tab w:val="left" w:pos="426"/>
        </w:tabs>
        <w:jc w:val="both"/>
        <w:rPr>
          <w:rFonts w:cstheme="minorHAnsi"/>
          <w:b/>
          <w:bCs/>
        </w:rPr>
      </w:pPr>
      <w:r w:rsidRPr="00FB5FDA">
        <w:rPr>
          <w:rFonts w:cstheme="minorHAnsi"/>
          <w:b/>
          <w:bCs/>
        </w:rPr>
        <w:t>The User Engagement Fund</w:t>
      </w:r>
    </w:p>
    <w:p w14:paraId="5FCFEDFF" w14:textId="6EFAD5F5" w:rsidR="00105A99" w:rsidRPr="00B537DF" w:rsidRDefault="00105A99" w:rsidP="00036E6C">
      <w:pPr>
        <w:tabs>
          <w:tab w:val="left" w:pos="426"/>
        </w:tabs>
        <w:jc w:val="both"/>
        <w:rPr>
          <w:rFonts w:cstheme="minorHAnsi"/>
        </w:rPr>
      </w:pPr>
      <w:r w:rsidRPr="00B537DF">
        <w:rPr>
          <w:rFonts w:cstheme="minorHAnsi"/>
        </w:rPr>
        <w:t xml:space="preserve">The </w:t>
      </w:r>
      <w:r w:rsidR="00A2112D" w:rsidRPr="00B537DF">
        <w:rPr>
          <w:rFonts w:cstheme="minorHAnsi"/>
        </w:rPr>
        <w:t>User</w:t>
      </w:r>
      <w:r w:rsidRPr="00B537DF">
        <w:rPr>
          <w:rFonts w:cstheme="minorHAnsi"/>
        </w:rPr>
        <w:t xml:space="preserve"> Engagement Fund has been established in recognition of the idea that high levels of user engagement </w:t>
      </w:r>
      <w:proofErr w:type="gramStart"/>
      <w:r w:rsidRPr="00B537DF">
        <w:rPr>
          <w:rFonts w:cstheme="minorHAnsi"/>
        </w:rPr>
        <w:t>lead</w:t>
      </w:r>
      <w:proofErr w:type="gramEnd"/>
      <w:r w:rsidRPr="00B537DF">
        <w:rPr>
          <w:rFonts w:cstheme="minorHAnsi"/>
        </w:rPr>
        <w:t xml:space="preserve"> to more productive collaboration and effective, sustainable outcomes for academic and non-academic partners. The User Engagement Fund therefore supports early</w:t>
      </w:r>
      <w:r w:rsidR="00BC493E" w:rsidRPr="00B537DF">
        <w:rPr>
          <w:rFonts w:cstheme="minorHAnsi"/>
        </w:rPr>
        <w:t>-</w:t>
      </w:r>
      <w:r w:rsidRPr="00B537DF">
        <w:rPr>
          <w:rFonts w:cstheme="minorHAnsi"/>
        </w:rPr>
        <w:t xml:space="preserve">stage engagement or scoping activities with new or existing user-partners to co-develop projects with clear impact potential. </w:t>
      </w:r>
    </w:p>
    <w:p w14:paraId="1DB36C5B" w14:textId="77777777" w:rsidR="00974A3B" w:rsidRPr="00974A3B" w:rsidRDefault="00974A3B" w:rsidP="00036E6C">
      <w:pPr>
        <w:jc w:val="both"/>
        <w:rPr>
          <w:rFonts w:cstheme="minorHAnsi"/>
        </w:rPr>
      </w:pPr>
      <w:r w:rsidRPr="00B537DF">
        <w:rPr>
          <w:rFonts w:cstheme="minorHAnsi"/>
        </w:rPr>
        <w:t xml:space="preserve">Projects are normally expected to cost up to a maximum of £5000, although this upper limit may be reassessed at the discretion of the ESRC IAA Panel in exceptional circumstances. </w:t>
      </w:r>
      <w:r w:rsidRPr="00974A3B">
        <w:rPr>
          <w:rFonts w:cstheme="minorHAnsi"/>
        </w:rPr>
        <w:t>Projects funded in this round are expected to be completed within 12 months.</w:t>
      </w:r>
    </w:p>
    <w:p w14:paraId="46EA4653" w14:textId="49257C0A" w:rsidR="00105A99" w:rsidRDefault="00105A99" w:rsidP="00036E6C">
      <w:pPr>
        <w:tabs>
          <w:tab w:val="left" w:pos="426"/>
        </w:tabs>
        <w:jc w:val="both"/>
        <w:rPr>
          <w:rFonts w:cstheme="minorHAnsi"/>
        </w:rPr>
      </w:pPr>
      <w:r w:rsidRPr="006E7FDA">
        <w:rPr>
          <w:rFonts w:cstheme="minorHAnsi"/>
        </w:rPr>
        <w:t xml:space="preserve">If successful, applicants </w:t>
      </w:r>
      <w:r w:rsidR="0082793E" w:rsidRPr="006E7FDA">
        <w:rPr>
          <w:rFonts w:cstheme="minorHAnsi"/>
        </w:rPr>
        <w:t>are</w:t>
      </w:r>
      <w:r w:rsidRPr="006E7FDA">
        <w:rPr>
          <w:rFonts w:cstheme="minorHAnsi"/>
        </w:rPr>
        <w:t xml:space="preserve"> e</w:t>
      </w:r>
      <w:r w:rsidR="00BC493E" w:rsidRPr="006E7FDA">
        <w:rPr>
          <w:rFonts w:cstheme="minorHAnsi"/>
        </w:rPr>
        <w:t>ncouraged</w:t>
      </w:r>
      <w:r w:rsidRPr="006E7FDA">
        <w:rPr>
          <w:rFonts w:cstheme="minorHAnsi"/>
        </w:rPr>
        <w:t xml:space="preserve"> to apply to one of the other ESRC IAA schemes within 12 months of completion of the </w:t>
      </w:r>
      <w:r w:rsidR="0082793E" w:rsidRPr="006E7FDA">
        <w:rPr>
          <w:rFonts w:cstheme="minorHAnsi"/>
        </w:rPr>
        <w:t>User</w:t>
      </w:r>
      <w:r w:rsidRPr="006E7FDA">
        <w:rPr>
          <w:rFonts w:cstheme="minorHAnsi"/>
        </w:rPr>
        <w:t xml:space="preserve"> Engagement project</w:t>
      </w:r>
      <w:r w:rsidR="00BC493E" w:rsidRPr="006E7FDA">
        <w:rPr>
          <w:rFonts w:cstheme="minorHAnsi"/>
        </w:rPr>
        <w:t>.</w:t>
      </w:r>
    </w:p>
    <w:p w14:paraId="00E71718" w14:textId="201F2E10" w:rsidR="007B7DFD" w:rsidRDefault="007B7DFD" w:rsidP="00036E6C">
      <w:pPr>
        <w:pStyle w:val="ListParagraph"/>
        <w:numPr>
          <w:ilvl w:val="0"/>
          <w:numId w:val="4"/>
        </w:numPr>
        <w:tabs>
          <w:tab w:val="left" w:pos="426"/>
        </w:tabs>
        <w:jc w:val="both"/>
        <w:rPr>
          <w:rFonts w:cstheme="minorHAnsi"/>
          <w:b/>
          <w:bCs/>
        </w:rPr>
      </w:pPr>
      <w:r>
        <w:rPr>
          <w:rFonts w:cstheme="minorHAnsi"/>
          <w:b/>
          <w:bCs/>
        </w:rPr>
        <w:t xml:space="preserve">The </w:t>
      </w:r>
      <w:proofErr w:type="gramStart"/>
      <w:r>
        <w:rPr>
          <w:rFonts w:cstheme="minorHAnsi"/>
          <w:b/>
          <w:bCs/>
        </w:rPr>
        <w:t>Follow on</w:t>
      </w:r>
      <w:proofErr w:type="gramEnd"/>
      <w:r>
        <w:rPr>
          <w:rFonts w:cstheme="minorHAnsi"/>
          <w:b/>
          <w:bCs/>
        </w:rPr>
        <w:t xml:space="preserve"> Fund </w:t>
      </w:r>
    </w:p>
    <w:p w14:paraId="1A69CADF" w14:textId="50F1AAE7" w:rsidR="00C8780B" w:rsidRDefault="00C8780B" w:rsidP="00036E6C">
      <w:pPr>
        <w:pStyle w:val="NormalWeb"/>
        <w:jc w:val="both"/>
        <w:rPr>
          <w:rFonts w:asciiTheme="minorHAnsi" w:hAnsiTheme="minorHAnsi" w:cstheme="minorBidi"/>
          <w:color w:val="000000" w:themeColor="text1"/>
          <w:sz w:val="22"/>
          <w:szCs w:val="22"/>
        </w:rPr>
      </w:pPr>
      <w:r w:rsidRPr="1F8FEDE8">
        <w:rPr>
          <w:rFonts w:asciiTheme="minorHAnsi" w:hAnsiTheme="minorHAnsi" w:cstheme="minorBidi"/>
          <w:color w:val="000000" w:themeColor="text1"/>
          <w:sz w:val="22"/>
          <w:szCs w:val="22"/>
        </w:rPr>
        <w:t>The Follow-on Fund supports the development of innovative and experimental forms of knowledge exchange from existing or ongoing research (not just those projects previously funded by the ESRC).</w:t>
      </w:r>
      <w:r w:rsidR="00586582">
        <w:rPr>
          <w:rFonts w:asciiTheme="minorHAnsi" w:hAnsiTheme="minorHAnsi" w:cstheme="minorBidi"/>
          <w:color w:val="000000" w:themeColor="text1"/>
          <w:sz w:val="22"/>
          <w:szCs w:val="22"/>
        </w:rPr>
        <w:t xml:space="preserve"> </w:t>
      </w:r>
      <w:r w:rsidRPr="1F8FEDE8">
        <w:rPr>
          <w:rFonts w:asciiTheme="minorHAnsi" w:hAnsiTheme="minorHAnsi" w:cstheme="minorBidi"/>
          <w:color w:val="000000" w:themeColor="text1"/>
          <w:sz w:val="22"/>
          <w:szCs w:val="22"/>
        </w:rPr>
        <w:lastRenderedPageBreak/>
        <w:t>Typically, follow-on fund projects build on existing researcher-user partnerships.</w:t>
      </w:r>
      <w:r w:rsidR="00ED497D" w:rsidRPr="1F8FEDE8">
        <w:rPr>
          <w:rFonts w:asciiTheme="minorHAnsi" w:hAnsiTheme="minorHAnsi" w:cstheme="minorBidi"/>
          <w:color w:val="000000" w:themeColor="text1"/>
          <w:sz w:val="22"/>
          <w:szCs w:val="22"/>
        </w:rPr>
        <w:t xml:space="preserve"> However, </w:t>
      </w:r>
      <w:r w:rsidR="00857867" w:rsidRPr="1F8FEDE8">
        <w:rPr>
          <w:rFonts w:asciiTheme="minorHAnsi" w:hAnsiTheme="minorHAnsi" w:cstheme="minorBidi"/>
          <w:color w:val="000000" w:themeColor="text1"/>
          <w:sz w:val="22"/>
          <w:szCs w:val="22"/>
        </w:rPr>
        <w:t xml:space="preserve">it is not a requirement to obtain User Engagement Funding to apply for </w:t>
      </w:r>
      <w:r w:rsidR="007454C0" w:rsidRPr="1F8FEDE8">
        <w:rPr>
          <w:rFonts w:asciiTheme="minorHAnsi" w:hAnsiTheme="minorHAnsi" w:cstheme="minorBidi"/>
          <w:color w:val="000000" w:themeColor="text1"/>
          <w:sz w:val="22"/>
          <w:szCs w:val="22"/>
        </w:rPr>
        <w:t xml:space="preserve">Follow on Funding. </w:t>
      </w:r>
    </w:p>
    <w:p w14:paraId="09CD9F93" w14:textId="1C2313F0" w:rsidR="00F52054" w:rsidRPr="00010F02" w:rsidRDefault="0077106B" w:rsidP="00036E6C">
      <w:pPr>
        <w:pStyle w:val="NoSpacing"/>
        <w:jc w:val="both"/>
        <w:rPr>
          <w:rFonts w:cstheme="minorHAnsi"/>
        </w:rPr>
      </w:pPr>
      <w:r w:rsidRPr="009B4B9B">
        <w:rPr>
          <w:rFonts w:cstheme="minorHAnsi"/>
          <w:color w:val="000000"/>
        </w:rPr>
        <w:t xml:space="preserve">Projects are normally expected to cost </w:t>
      </w:r>
      <w:r w:rsidRPr="009B4B9B">
        <w:rPr>
          <w:rFonts w:cstheme="minorHAnsi"/>
          <w:b/>
          <w:color w:val="000000"/>
        </w:rPr>
        <w:t>up to a maximum of £15,000</w:t>
      </w:r>
      <w:r w:rsidRPr="009B4B9B">
        <w:rPr>
          <w:rFonts w:cstheme="minorHAnsi"/>
          <w:color w:val="000000"/>
        </w:rPr>
        <w:t xml:space="preserve">, although this upper limit may be reassessed at the discretion of the ESRC IAA Panel in exceptional circumstances. </w:t>
      </w:r>
      <w:r w:rsidRPr="009B4B9B">
        <w:rPr>
          <w:rFonts w:cstheme="minorHAnsi"/>
        </w:rPr>
        <w:t xml:space="preserve">Projects funded in this round are expected to be completed </w:t>
      </w:r>
      <w:r>
        <w:rPr>
          <w:rFonts w:cstheme="minorHAnsi"/>
        </w:rPr>
        <w:t xml:space="preserve">within 12 months. </w:t>
      </w:r>
    </w:p>
    <w:p w14:paraId="2866FCFF" w14:textId="77777777" w:rsidR="00105A99" w:rsidRPr="009E1FCE" w:rsidRDefault="00105A99" w:rsidP="00036E6C">
      <w:pPr>
        <w:pStyle w:val="ListParagraph"/>
        <w:tabs>
          <w:tab w:val="left" w:pos="567"/>
        </w:tabs>
        <w:ind w:left="360"/>
        <w:jc w:val="both"/>
        <w:rPr>
          <w:rFonts w:cstheme="minorHAnsi"/>
        </w:rPr>
      </w:pPr>
    </w:p>
    <w:p w14:paraId="24410340" w14:textId="77777777" w:rsidR="00105A99" w:rsidRPr="009E1FCE" w:rsidRDefault="00105A99" w:rsidP="00036E6C">
      <w:pPr>
        <w:pStyle w:val="ListParagraph"/>
        <w:numPr>
          <w:ilvl w:val="0"/>
          <w:numId w:val="4"/>
        </w:numPr>
        <w:tabs>
          <w:tab w:val="left" w:pos="567"/>
        </w:tabs>
        <w:jc w:val="both"/>
        <w:rPr>
          <w:rFonts w:cstheme="minorHAnsi"/>
        </w:rPr>
      </w:pPr>
      <w:r w:rsidRPr="009E1FCE">
        <w:rPr>
          <w:rFonts w:cstheme="minorHAnsi"/>
          <w:b/>
        </w:rPr>
        <w:t>Eligibility</w:t>
      </w:r>
    </w:p>
    <w:p w14:paraId="33A68075" w14:textId="71E332AA" w:rsidR="00105A99" w:rsidRPr="007B7DFD" w:rsidRDefault="007B7DFD" w:rsidP="00036E6C">
      <w:pPr>
        <w:jc w:val="both"/>
        <w:rPr>
          <w:rFonts w:cstheme="minorHAnsi"/>
        </w:rPr>
      </w:pPr>
      <w:r>
        <w:rPr>
          <w:rFonts w:cstheme="minorHAnsi"/>
        </w:rPr>
        <w:t>ESRC IAA funding</w:t>
      </w:r>
      <w:r w:rsidR="00105A99" w:rsidRPr="007B7DFD">
        <w:rPr>
          <w:rFonts w:cstheme="minorHAnsi"/>
        </w:rPr>
        <w:t xml:space="preserve"> is open to all academic staff from across the University of Glasgow, provided the research underpinning the activities proposed falls under the remit of the ESRC. Details of the breadth of disciplines eligible are available via </w:t>
      </w:r>
      <w:hyperlink r:id="rId13" w:history="1">
        <w:r w:rsidR="00105A99" w:rsidRPr="007B7DFD">
          <w:rPr>
            <w:rStyle w:val="Hyperlink"/>
            <w:rFonts w:cstheme="minorHAnsi"/>
          </w:rPr>
          <w:t>the ESRC website</w:t>
        </w:r>
      </w:hyperlink>
      <w:r w:rsidR="00105A99" w:rsidRPr="007B7DFD">
        <w:rPr>
          <w:rFonts w:cstheme="minorHAnsi"/>
        </w:rPr>
        <w:t xml:space="preserve">. </w:t>
      </w:r>
    </w:p>
    <w:p w14:paraId="5A755655" w14:textId="1B18714F" w:rsidR="00105A99" w:rsidRPr="0077106B" w:rsidRDefault="00105A99" w:rsidP="00036E6C">
      <w:pPr>
        <w:jc w:val="both"/>
        <w:rPr>
          <w:rFonts w:cstheme="minorHAnsi"/>
        </w:rPr>
      </w:pPr>
      <w:r w:rsidRPr="0077106B">
        <w:rPr>
          <w:rFonts w:cstheme="minorHAnsi"/>
        </w:rPr>
        <w:t>Interdisciplinary projects with a major social science component are also eligible for funding.</w:t>
      </w:r>
    </w:p>
    <w:p w14:paraId="178549D0" w14:textId="29D9DFD7" w:rsidR="00105A99" w:rsidRPr="00AC3CE4" w:rsidRDefault="00105A99" w:rsidP="00036E6C">
      <w:pPr>
        <w:jc w:val="both"/>
        <w:rPr>
          <w:rFonts w:cstheme="minorHAnsi"/>
        </w:rPr>
      </w:pPr>
      <w:r w:rsidRPr="00AC3CE4">
        <w:rPr>
          <w:rFonts w:cstheme="minorHAnsi"/>
        </w:rPr>
        <w:t xml:space="preserve">Collaborative projects with other HEIs are welcome but University of Glasgow ESRC IAA funds cannot directly fund the activity of academic colleagues outside of this institution. </w:t>
      </w:r>
    </w:p>
    <w:p w14:paraId="765B7E28" w14:textId="05A23A4F" w:rsidR="00105A99" w:rsidRPr="00AC3CE4" w:rsidRDefault="00105A99" w:rsidP="00036E6C">
      <w:pPr>
        <w:jc w:val="both"/>
        <w:rPr>
          <w:rFonts w:cstheme="minorHAnsi"/>
        </w:rPr>
      </w:pPr>
      <w:r w:rsidRPr="00AC3CE4">
        <w:rPr>
          <w:rFonts w:cstheme="minorHAnsi"/>
          <w:color w:val="000000" w:themeColor="text1"/>
        </w:rPr>
        <w:t xml:space="preserve">In the case of proposals linked to live </w:t>
      </w:r>
      <w:r w:rsidR="00ED5750" w:rsidRPr="00AC3CE4">
        <w:rPr>
          <w:rFonts w:cstheme="minorHAnsi"/>
          <w:color w:val="000000" w:themeColor="text1"/>
        </w:rPr>
        <w:t>UKRI</w:t>
      </w:r>
      <w:r w:rsidRPr="00AC3CE4">
        <w:rPr>
          <w:rFonts w:cstheme="minorHAnsi"/>
          <w:color w:val="000000" w:themeColor="text1"/>
        </w:rPr>
        <w:t xml:space="preserve"> funded research, there is an expectation that grant awards will include provision for KE activity. Applicants for funding from the IAA based on such projects will therefore have to demonstrate that work they are proposing to undertake using IAA funding is beyond the scope anticipated at the time the original research proposal was submitted. </w:t>
      </w:r>
    </w:p>
    <w:p w14:paraId="02B5F752" w14:textId="21A9AD09" w:rsidR="00105A99" w:rsidRPr="00AC3CE4" w:rsidRDefault="00105A99" w:rsidP="00036E6C">
      <w:pPr>
        <w:jc w:val="both"/>
        <w:rPr>
          <w:rFonts w:cstheme="minorHAnsi"/>
        </w:rPr>
      </w:pPr>
      <w:r w:rsidRPr="00AC3CE4">
        <w:rPr>
          <w:rFonts w:cstheme="minorHAnsi"/>
        </w:rPr>
        <w:t xml:space="preserve">Expenses for items such as travel, accommodation, subsistence, consumables, events etc. are eligible for inclusion in IAA budgets, and should be appropriately justified in your application. </w:t>
      </w:r>
    </w:p>
    <w:p w14:paraId="5256BA38" w14:textId="7D4AC102" w:rsidR="002E5FAA" w:rsidRPr="00AC3CE4" w:rsidRDefault="0082793E" w:rsidP="00036E6C">
      <w:pPr>
        <w:jc w:val="both"/>
        <w:rPr>
          <w:rFonts w:cstheme="minorHAnsi"/>
        </w:rPr>
      </w:pPr>
      <w:r w:rsidRPr="00AC3CE4">
        <w:rPr>
          <w:rFonts w:cstheme="minorHAnsi"/>
        </w:rPr>
        <w:t>C</w:t>
      </w:r>
      <w:r w:rsidR="00105A99" w:rsidRPr="00AC3CE4">
        <w:rPr>
          <w:rFonts w:cstheme="minorHAnsi"/>
        </w:rPr>
        <w:t xml:space="preserve">osts for </w:t>
      </w:r>
      <w:r w:rsidR="002E5FAA" w:rsidRPr="00AC3CE4">
        <w:rPr>
          <w:rFonts w:cstheme="minorHAnsi"/>
        </w:rPr>
        <w:t>staff</w:t>
      </w:r>
      <w:r w:rsidR="00105A99" w:rsidRPr="00AC3CE4">
        <w:rPr>
          <w:rFonts w:cstheme="minorHAnsi"/>
        </w:rPr>
        <w:t xml:space="preserve"> are eligible for inclusion where it can be demonstrated that the activity directly supports the project</w:t>
      </w:r>
      <w:r w:rsidR="002E5FAA" w:rsidRPr="00AC3CE4">
        <w:rPr>
          <w:rFonts w:cstheme="minorHAnsi"/>
        </w:rPr>
        <w:t xml:space="preserve">. </w:t>
      </w:r>
      <w:bookmarkStart w:id="0" w:name="_Hlk128051186"/>
      <w:r w:rsidR="00105A99" w:rsidRPr="00AC3CE4">
        <w:rPr>
          <w:rFonts w:cstheme="minorHAnsi"/>
        </w:rPr>
        <w:t xml:space="preserve">For </w:t>
      </w:r>
      <w:r w:rsidRPr="00AC3CE4">
        <w:rPr>
          <w:rFonts w:cstheme="minorHAnsi"/>
        </w:rPr>
        <w:t>detailed</w:t>
      </w:r>
      <w:r w:rsidR="00105A99" w:rsidRPr="00AC3CE4">
        <w:rPr>
          <w:rFonts w:cstheme="minorHAnsi"/>
        </w:rPr>
        <w:t xml:space="preserve"> advice about </w:t>
      </w:r>
      <w:r w:rsidR="002E5FAA" w:rsidRPr="00AC3CE4">
        <w:rPr>
          <w:rFonts w:cstheme="minorHAnsi"/>
        </w:rPr>
        <w:t xml:space="preserve">staff </w:t>
      </w:r>
      <w:r w:rsidR="00105A99" w:rsidRPr="00AC3CE4">
        <w:rPr>
          <w:rFonts w:cstheme="minorHAnsi"/>
        </w:rPr>
        <w:t>cost</w:t>
      </w:r>
      <w:r w:rsidR="002E5FAA" w:rsidRPr="00AC3CE4">
        <w:rPr>
          <w:rFonts w:cstheme="minorHAnsi"/>
        </w:rPr>
        <w:t>s</w:t>
      </w:r>
      <w:r w:rsidR="00105A99" w:rsidRPr="00AC3CE4">
        <w:rPr>
          <w:rFonts w:cstheme="minorHAnsi"/>
        </w:rPr>
        <w:t xml:space="preserve">, please contact </w:t>
      </w:r>
      <w:r w:rsidR="002E5FAA" w:rsidRPr="00AC3CE4">
        <w:rPr>
          <w:rFonts w:cstheme="minorHAnsi"/>
        </w:rPr>
        <w:t xml:space="preserve">Project Coordinator: </w:t>
      </w:r>
      <w:hyperlink r:id="rId14" w:history="1">
        <w:r w:rsidR="002E5FAA" w:rsidRPr="00AC3CE4">
          <w:rPr>
            <w:rStyle w:val="Hyperlink"/>
            <w:rFonts w:cstheme="minorHAnsi"/>
          </w:rPr>
          <w:t>Jonathan.Houston@glasgow.ac.uk</w:t>
        </w:r>
      </w:hyperlink>
      <w:bookmarkStart w:id="1" w:name="_Hlk75967117"/>
      <w:r w:rsidR="002E5FAA" w:rsidRPr="00AC3CE4">
        <w:rPr>
          <w:rFonts w:cstheme="minorHAnsi"/>
        </w:rPr>
        <w:t>.</w:t>
      </w:r>
      <w:bookmarkEnd w:id="0"/>
    </w:p>
    <w:p w14:paraId="02802914" w14:textId="783996D9" w:rsidR="00A6638A" w:rsidRPr="00AC3CE4" w:rsidRDefault="00A6638A" w:rsidP="00036E6C">
      <w:pPr>
        <w:jc w:val="both"/>
        <w:rPr>
          <w:rFonts w:cstheme="minorHAnsi"/>
        </w:rPr>
      </w:pPr>
      <w:r w:rsidRPr="00AC3CE4">
        <w:rPr>
          <w:rFonts w:cstheme="minorHAnsi"/>
          <w:color w:val="000000"/>
        </w:rPr>
        <w:t xml:space="preserve">Expenditure will be expected to commence within 2 months of the </w:t>
      </w:r>
      <w:r w:rsidR="002E5FAA" w:rsidRPr="00AC3CE4">
        <w:rPr>
          <w:rFonts w:cstheme="minorHAnsi"/>
          <w:color w:val="000000"/>
        </w:rPr>
        <w:t xml:space="preserve">project’s </w:t>
      </w:r>
      <w:r w:rsidRPr="00AC3CE4">
        <w:rPr>
          <w:rFonts w:cstheme="minorHAnsi"/>
          <w:color w:val="000000"/>
        </w:rPr>
        <w:t xml:space="preserve">start date, </w:t>
      </w:r>
      <w:bookmarkStart w:id="2" w:name="_Hlk75966243"/>
      <w:r w:rsidRPr="00AC3CE4">
        <w:rPr>
          <w:rFonts w:cstheme="minorHAnsi"/>
          <w:color w:val="000000"/>
        </w:rPr>
        <w:t>with final submission and payment of</w:t>
      </w:r>
      <w:r w:rsidR="009965E4" w:rsidRPr="00AC3CE4">
        <w:rPr>
          <w:rFonts w:cstheme="minorHAnsi"/>
          <w:color w:val="000000"/>
        </w:rPr>
        <w:t xml:space="preserve"> expenses,</w:t>
      </w:r>
      <w:r w:rsidRPr="00AC3CE4">
        <w:rPr>
          <w:rFonts w:cstheme="minorHAnsi"/>
          <w:color w:val="000000"/>
        </w:rPr>
        <w:t xml:space="preserve"> </w:t>
      </w:r>
      <w:proofErr w:type="gramStart"/>
      <w:r w:rsidRPr="00AC3CE4">
        <w:rPr>
          <w:rFonts w:cstheme="minorHAnsi"/>
          <w:color w:val="000000"/>
        </w:rPr>
        <w:t>salaries</w:t>
      </w:r>
      <w:proofErr w:type="gramEnd"/>
      <w:r w:rsidRPr="00AC3CE4">
        <w:rPr>
          <w:rFonts w:cstheme="minorHAnsi"/>
          <w:color w:val="000000"/>
        </w:rPr>
        <w:t xml:space="preserve"> or invoices </w:t>
      </w:r>
      <w:r w:rsidR="009965E4" w:rsidRPr="00AC3CE4">
        <w:rPr>
          <w:rFonts w:cstheme="minorHAnsi"/>
          <w:color w:val="000000"/>
        </w:rPr>
        <w:t>within 2 months.</w:t>
      </w:r>
      <w:r w:rsidRPr="00AC3CE4">
        <w:rPr>
          <w:rFonts w:cstheme="minorHAnsi"/>
          <w:color w:val="000000"/>
        </w:rPr>
        <w:t xml:space="preserve"> </w:t>
      </w:r>
      <w:bookmarkEnd w:id="2"/>
    </w:p>
    <w:bookmarkEnd w:id="1"/>
    <w:p w14:paraId="67F61144" w14:textId="06FB1895" w:rsidR="00105A99" w:rsidRPr="00AC3CE4" w:rsidRDefault="00A6638A" w:rsidP="00036E6C">
      <w:pPr>
        <w:jc w:val="both"/>
        <w:rPr>
          <w:rFonts w:cstheme="minorHAnsi"/>
        </w:rPr>
      </w:pPr>
      <w:r w:rsidRPr="00AC3CE4">
        <w:rPr>
          <w:rFonts w:cstheme="minorHAnsi"/>
        </w:rPr>
        <w:t>A</w:t>
      </w:r>
      <w:r w:rsidR="00105A99" w:rsidRPr="00AC3CE4">
        <w:rPr>
          <w:rFonts w:cstheme="minorHAnsi"/>
        </w:rPr>
        <w:t xml:space="preserve">ward recipients may not hold more than one </w:t>
      </w:r>
      <w:r w:rsidR="00AC3CE4">
        <w:rPr>
          <w:rFonts w:cstheme="minorHAnsi"/>
        </w:rPr>
        <w:t xml:space="preserve">ESRC IAA grant concurrently. </w:t>
      </w:r>
    </w:p>
    <w:p w14:paraId="77882E15" w14:textId="77777777" w:rsidR="00105A99" w:rsidRPr="009E1FCE" w:rsidRDefault="00105A99" w:rsidP="00036E6C">
      <w:pPr>
        <w:pStyle w:val="ListParagraph"/>
        <w:tabs>
          <w:tab w:val="left" w:pos="567"/>
        </w:tabs>
        <w:ind w:left="426" w:hanging="426"/>
        <w:jc w:val="both"/>
        <w:rPr>
          <w:rFonts w:cstheme="minorHAnsi"/>
        </w:rPr>
      </w:pPr>
    </w:p>
    <w:p w14:paraId="66014E9E" w14:textId="1ACE4DB7" w:rsidR="00105A99" w:rsidRPr="009E1FCE" w:rsidRDefault="00105A99" w:rsidP="00036E6C">
      <w:pPr>
        <w:pStyle w:val="ListParagraph"/>
        <w:numPr>
          <w:ilvl w:val="0"/>
          <w:numId w:val="4"/>
        </w:numPr>
        <w:tabs>
          <w:tab w:val="left" w:pos="567"/>
        </w:tabs>
        <w:ind w:left="426" w:hanging="426"/>
        <w:jc w:val="both"/>
        <w:rPr>
          <w:rFonts w:cstheme="minorHAnsi"/>
        </w:rPr>
      </w:pPr>
      <w:r w:rsidRPr="009E1FCE">
        <w:rPr>
          <w:rFonts w:cstheme="minorHAnsi"/>
          <w:b/>
        </w:rPr>
        <w:t xml:space="preserve">Ineligible costs, </w:t>
      </w:r>
      <w:proofErr w:type="gramStart"/>
      <w:r w:rsidRPr="009E1FCE">
        <w:rPr>
          <w:rFonts w:cstheme="minorHAnsi"/>
          <w:b/>
        </w:rPr>
        <w:t>activities</w:t>
      </w:r>
      <w:proofErr w:type="gramEnd"/>
      <w:r w:rsidRPr="009E1FCE">
        <w:rPr>
          <w:rFonts w:cstheme="minorHAnsi"/>
          <w:b/>
        </w:rPr>
        <w:t xml:space="preserve"> and applicants</w:t>
      </w:r>
      <w:r w:rsidRPr="009E1FCE">
        <w:rPr>
          <w:rFonts w:cstheme="minorHAnsi"/>
        </w:rPr>
        <w:t xml:space="preserve"> </w:t>
      </w:r>
    </w:p>
    <w:p w14:paraId="5B31F956" w14:textId="242E2774" w:rsidR="00105A99" w:rsidRPr="0018432A" w:rsidRDefault="00105A99" w:rsidP="00036E6C">
      <w:pPr>
        <w:jc w:val="both"/>
        <w:rPr>
          <w:rFonts w:cstheme="minorHAnsi"/>
        </w:rPr>
      </w:pPr>
      <w:r w:rsidRPr="0018432A">
        <w:rPr>
          <w:rFonts w:cstheme="minorHAnsi"/>
        </w:rPr>
        <w:t>Post-graduate researchers are not eligible to apply to the IAA directly</w:t>
      </w:r>
      <w:r w:rsidR="00ED5750" w:rsidRPr="0018432A">
        <w:rPr>
          <w:rFonts w:cstheme="minorHAnsi"/>
        </w:rPr>
        <w:t>. However, they</w:t>
      </w:r>
      <w:r w:rsidRPr="0018432A">
        <w:rPr>
          <w:rFonts w:cstheme="minorHAnsi"/>
        </w:rPr>
        <w:t xml:space="preserve"> may be funded as </w:t>
      </w:r>
      <w:r w:rsidR="002E5FAA" w:rsidRPr="0018432A">
        <w:rPr>
          <w:rFonts w:cstheme="minorHAnsi"/>
        </w:rPr>
        <w:t>R</w:t>
      </w:r>
      <w:r w:rsidRPr="0018432A">
        <w:rPr>
          <w:rFonts w:cstheme="minorHAnsi"/>
        </w:rPr>
        <w:t xml:space="preserve">esearch </w:t>
      </w:r>
      <w:r w:rsidR="002E5FAA" w:rsidRPr="0018432A">
        <w:rPr>
          <w:rFonts w:cstheme="minorHAnsi"/>
        </w:rPr>
        <w:t>A</w:t>
      </w:r>
      <w:r w:rsidRPr="0018432A">
        <w:rPr>
          <w:rFonts w:cstheme="minorHAnsi"/>
        </w:rPr>
        <w:t>ssistants (see 2.7 above).</w:t>
      </w:r>
    </w:p>
    <w:p w14:paraId="7157742E" w14:textId="7D8EEDCC" w:rsidR="00105A99" w:rsidRPr="0018432A" w:rsidRDefault="00105A99" w:rsidP="00036E6C">
      <w:pPr>
        <w:jc w:val="both"/>
        <w:rPr>
          <w:rFonts w:cstheme="minorHAnsi"/>
        </w:rPr>
      </w:pPr>
      <w:r w:rsidRPr="0018432A">
        <w:rPr>
          <w:rFonts w:cstheme="minorHAnsi"/>
        </w:rPr>
        <w:t xml:space="preserve">The IAA is not intended to fund: </w:t>
      </w:r>
    </w:p>
    <w:p w14:paraId="0AF967C5" w14:textId="16E60098"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Direct buy-out of time for existing academic or professional services staff</w:t>
      </w:r>
    </w:p>
    <w:p w14:paraId="1D0EB1D5" w14:textId="10B1911A"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Estates and indirect costs</w:t>
      </w:r>
    </w:p>
    <w:p w14:paraId="57C8F3DF" w14:textId="071849AC"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 xml:space="preserve">Attendance at academic conferences or networking events </w:t>
      </w:r>
    </w:p>
    <w:p w14:paraId="53409464" w14:textId="49CEF9F1"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 xml:space="preserve">PhD fees </w:t>
      </w:r>
    </w:p>
    <w:p w14:paraId="6F89AD1F" w14:textId="24575DB5"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Publisher costs associated with Open Access</w:t>
      </w:r>
    </w:p>
    <w:p w14:paraId="0FC37494" w14:textId="46B2A359"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The preparation of research grant applications</w:t>
      </w:r>
    </w:p>
    <w:p w14:paraId="585BFE0C" w14:textId="4E3168D2" w:rsidR="00105A99" w:rsidRPr="009E1FCE" w:rsidRDefault="00105A99" w:rsidP="00036E6C">
      <w:pPr>
        <w:pStyle w:val="ListParagraph"/>
        <w:numPr>
          <w:ilvl w:val="1"/>
          <w:numId w:val="5"/>
        </w:numPr>
        <w:ind w:left="709" w:hanging="425"/>
        <w:jc w:val="both"/>
        <w:rPr>
          <w:rFonts w:cstheme="minorHAnsi"/>
        </w:rPr>
      </w:pPr>
      <w:r w:rsidRPr="009E1FCE">
        <w:rPr>
          <w:rFonts w:cstheme="minorHAnsi"/>
        </w:rPr>
        <w:t xml:space="preserve">Activities already covered by </w:t>
      </w:r>
      <w:r w:rsidR="002E5FAA" w:rsidRPr="009E1FCE">
        <w:rPr>
          <w:rFonts w:cstheme="minorHAnsi"/>
        </w:rPr>
        <w:t>prior</w:t>
      </w:r>
      <w:r w:rsidRPr="009E1FCE">
        <w:rPr>
          <w:rFonts w:cstheme="minorHAnsi"/>
        </w:rPr>
        <w:t xml:space="preserve"> ESRC </w:t>
      </w:r>
      <w:proofErr w:type="gramStart"/>
      <w:r w:rsidRPr="009E1FCE">
        <w:rPr>
          <w:rFonts w:cstheme="minorHAnsi"/>
        </w:rPr>
        <w:t>awards</w:t>
      </w:r>
      <w:proofErr w:type="gramEnd"/>
      <w:r w:rsidRPr="009E1FCE">
        <w:rPr>
          <w:rFonts w:cstheme="minorHAnsi"/>
        </w:rPr>
        <w:t xml:space="preserve"> </w:t>
      </w:r>
    </w:p>
    <w:p w14:paraId="4B3D0C28" w14:textId="588F11CF" w:rsidR="00481CEC" w:rsidRPr="009E1FCE" w:rsidRDefault="00105A99" w:rsidP="00036E6C">
      <w:pPr>
        <w:pStyle w:val="ListParagraph"/>
        <w:numPr>
          <w:ilvl w:val="1"/>
          <w:numId w:val="5"/>
        </w:numPr>
        <w:ind w:left="709" w:hanging="425"/>
        <w:jc w:val="both"/>
        <w:rPr>
          <w:rFonts w:cstheme="minorHAnsi"/>
        </w:rPr>
      </w:pPr>
      <w:r w:rsidRPr="009E1FCE">
        <w:rPr>
          <w:rFonts w:cstheme="minorHAnsi"/>
        </w:rPr>
        <w:lastRenderedPageBreak/>
        <w:t xml:space="preserve">Projects with limited potential for knowledge-exchange or impact </w:t>
      </w:r>
      <w:r w:rsidR="002E5FAA" w:rsidRPr="009E1FCE">
        <w:rPr>
          <w:rFonts w:cstheme="minorHAnsi"/>
        </w:rPr>
        <w:t xml:space="preserve">beyond academia </w:t>
      </w:r>
    </w:p>
    <w:p w14:paraId="5768FFB0" w14:textId="77777777" w:rsidR="00481CEC" w:rsidRPr="009E1FCE" w:rsidRDefault="00481CEC" w:rsidP="00036E6C">
      <w:pPr>
        <w:pStyle w:val="ListParagraph"/>
        <w:ind w:left="792"/>
        <w:jc w:val="both"/>
        <w:rPr>
          <w:rFonts w:cstheme="minorHAnsi"/>
        </w:rPr>
      </w:pPr>
    </w:p>
    <w:p w14:paraId="6ACDBB0C" w14:textId="61022459" w:rsidR="00105A99" w:rsidRPr="009E1FCE" w:rsidRDefault="00105A99" w:rsidP="00036E6C">
      <w:pPr>
        <w:pStyle w:val="ListParagraph"/>
        <w:numPr>
          <w:ilvl w:val="0"/>
          <w:numId w:val="4"/>
        </w:numPr>
        <w:tabs>
          <w:tab w:val="left" w:pos="567"/>
        </w:tabs>
        <w:jc w:val="both"/>
        <w:rPr>
          <w:rFonts w:cstheme="minorHAnsi"/>
          <w:b/>
        </w:rPr>
      </w:pPr>
      <w:r w:rsidRPr="009E1FCE">
        <w:rPr>
          <w:rFonts w:cstheme="minorHAnsi"/>
          <w:b/>
        </w:rPr>
        <w:t>How to apply</w:t>
      </w:r>
    </w:p>
    <w:p w14:paraId="718DB258" w14:textId="120D5252" w:rsidR="00105A99" w:rsidRPr="00832FF0" w:rsidRDefault="00105A99" w:rsidP="00036E6C">
      <w:pPr>
        <w:jc w:val="both"/>
        <w:rPr>
          <w:rFonts w:cstheme="minorHAnsi"/>
        </w:rPr>
      </w:pPr>
      <w:r w:rsidRPr="00832FF0">
        <w:rPr>
          <w:rFonts w:cstheme="minorHAnsi"/>
          <w:color w:val="000000" w:themeColor="text1"/>
        </w:rPr>
        <w:t>The application form can be downloaded from the same location as this guidance note</w:t>
      </w:r>
      <w:r w:rsidRPr="00832FF0">
        <w:rPr>
          <w:rFonts w:cstheme="minorHAnsi"/>
        </w:rPr>
        <w:t xml:space="preserve">. </w:t>
      </w:r>
      <w:r w:rsidR="0097543B" w:rsidRPr="00832FF0">
        <w:rPr>
          <w:rFonts w:cstheme="minorHAnsi"/>
        </w:rPr>
        <w:t xml:space="preserve">We strongly recommend that applicants </w:t>
      </w:r>
      <w:r w:rsidR="005B66AB" w:rsidRPr="00832FF0">
        <w:rPr>
          <w:rFonts w:cstheme="minorHAnsi"/>
        </w:rPr>
        <w:t xml:space="preserve">contact </w:t>
      </w:r>
      <w:hyperlink r:id="rId15" w:history="1">
        <w:r w:rsidR="005B66AB" w:rsidRPr="00832FF0">
          <w:rPr>
            <w:rStyle w:val="Hyperlink"/>
            <w:rFonts w:cstheme="minorHAnsi"/>
          </w:rPr>
          <w:t>socsci-esrc-iaa@glasgow.ac.uk</w:t>
        </w:r>
      </w:hyperlink>
      <w:r w:rsidR="005B66AB" w:rsidRPr="00832FF0">
        <w:rPr>
          <w:rStyle w:val="Hyperlink"/>
          <w:rFonts w:cstheme="minorHAnsi"/>
          <w:color w:val="auto"/>
          <w:u w:val="none"/>
        </w:rPr>
        <w:t xml:space="preserve"> for a di</w:t>
      </w:r>
      <w:r w:rsidR="00AB5CC6" w:rsidRPr="00832FF0">
        <w:rPr>
          <w:rStyle w:val="Hyperlink"/>
          <w:rFonts w:cstheme="minorHAnsi"/>
          <w:color w:val="auto"/>
          <w:u w:val="none"/>
        </w:rPr>
        <w:t xml:space="preserve">scussion on eligibility before applying. </w:t>
      </w:r>
      <w:r w:rsidR="00ED5EEE" w:rsidRPr="00832FF0">
        <w:rPr>
          <w:rStyle w:val="Hyperlink"/>
          <w:rFonts w:cstheme="minorHAnsi"/>
          <w:color w:val="auto"/>
          <w:u w:val="none"/>
        </w:rPr>
        <w:t xml:space="preserve">The </w:t>
      </w:r>
      <w:proofErr w:type="spellStart"/>
      <w:r w:rsidR="00ED5EEE" w:rsidRPr="00832FF0">
        <w:rPr>
          <w:rStyle w:val="Hyperlink"/>
          <w:rFonts w:cstheme="minorHAnsi"/>
          <w:color w:val="auto"/>
          <w:u w:val="none"/>
        </w:rPr>
        <w:t>CoSS</w:t>
      </w:r>
      <w:proofErr w:type="spellEnd"/>
      <w:r w:rsidR="00ED5EEE" w:rsidRPr="00832FF0">
        <w:rPr>
          <w:rStyle w:val="Hyperlink"/>
          <w:rFonts w:cstheme="minorHAnsi"/>
          <w:color w:val="auto"/>
          <w:u w:val="none"/>
        </w:rPr>
        <w:t xml:space="preserve"> KE and Impact team can </w:t>
      </w:r>
      <w:r w:rsidR="00550153" w:rsidRPr="00832FF0">
        <w:rPr>
          <w:rStyle w:val="Hyperlink"/>
          <w:rFonts w:cstheme="minorHAnsi"/>
          <w:color w:val="auto"/>
          <w:u w:val="none"/>
        </w:rPr>
        <w:t xml:space="preserve">support applicants with all aspects of proposal development. </w:t>
      </w:r>
    </w:p>
    <w:p w14:paraId="63FFC4E4" w14:textId="6A5E5554" w:rsidR="00105A99" w:rsidRPr="00832FF0" w:rsidRDefault="00105A99" w:rsidP="00036E6C">
      <w:pPr>
        <w:jc w:val="both"/>
        <w:rPr>
          <w:rFonts w:cstheme="minorHAnsi"/>
        </w:rPr>
      </w:pPr>
      <w:r w:rsidRPr="00832FF0">
        <w:rPr>
          <w:rFonts w:cstheme="minorHAnsi"/>
        </w:rPr>
        <w:t xml:space="preserve">It is the responsibility of the applicant(s) to ensure that all proposed activities are in accordance with the University’s Code of Ethics and Code of Practice for Research. </w:t>
      </w:r>
    </w:p>
    <w:p w14:paraId="66314075" w14:textId="1E8DD0D1" w:rsidR="00105A99" w:rsidRPr="00832FF0" w:rsidRDefault="00105A99" w:rsidP="00036E6C">
      <w:pPr>
        <w:jc w:val="both"/>
        <w:rPr>
          <w:rFonts w:cstheme="minorHAnsi"/>
        </w:rPr>
      </w:pPr>
      <w:r w:rsidRPr="00832FF0">
        <w:rPr>
          <w:rFonts w:cstheme="minorHAnsi"/>
        </w:rPr>
        <w:t xml:space="preserve">Application forms should be submitted </w:t>
      </w:r>
      <w:r w:rsidR="002E5FAA" w:rsidRPr="00832FF0">
        <w:rPr>
          <w:rFonts w:cstheme="minorHAnsi"/>
        </w:rPr>
        <w:t>via email</w:t>
      </w:r>
      <w:r w:rsidRPr="00832FF0">
        <w:rPr>
          <w:rFonts w:cstheme="minorHAnsi"/>
        </w:rPr>
        <w:t xml:space="preserve"> to </w:t>
      </w:r>
      <w:hyperlink r:id="rId16" w:history="1">
        <w:r w:rsidR="009E1FCE" w:rsidRPr="00832FF0">
          <w:rPr>
            <w:rStyle w:val="Hyperlink"/>
            <w:rFonts w:cstheme="minorHAnsi"/>
          </w:rPr>
          <w:t>socsci-esrc-iaa@glasgow.ac.uk</w:t>
        </w:r>
      </w:hyperlink>
      <w:r w:rsidRPr="00832FF0">
        <w:rPr>
          <w:rFonts w:cstheme="minorHAnsi"/>
        </w:rPr>
        <w:t>.</w:t>
      </w:r>
    </w:p>
    <w:p w14:paraId="1B31F9C4" w14:textId="363C9915" w:rsidR="00550153" w:rsidRPr="00832FF0" w:rsidRDefault="00105A99" w:rsidP="00036E6C">
      <w:pPr>
        <w:jc w:val="both"/>
        <w:rPr>
          <w:rFonts w:cstheme="minorHAnsi"/>
        </w:rPr>
      </w:pPr>
      <w:bookmarkStart w:id="3" w:name="_Hlk128051429"/>
      <w:r w:rsidRPr="00832FF0">
        <w:rPr>
          <w:rFonts w:cstheme="minorHAnsi"/>
        </w:rPr>
        <w:t xml:space="preserve">All applications </w:t>
      </w:r>
      <w:r w:rsidR="00550153" w:rsidRPr="00832FF0">
        <w:rPr>
          <w:rFonts w:cstheme="minorHAnsi"/>
        </w:rPr>
        <w:t xml:space="preserve">will be reviewed and scored </w:t>
      </w:r>
      <w:r w:rsidR="00D62F85" w:rsidRPr="00832FF0">
        <w:rPr>
          <w:rFonts w:cstheme="minorHAnsi"/>
        </w:rPr>
        <w:t>independently by three reviewers from our pool of reviewers</w:t>
      </w:r>
      <w:r w:rsidR="003F55E7" w:rsidRPr="00832FF0">
        <w:rPr>
          <w:rFonts w:cstheme="minorHAnsi"/>
        </w:rPr>
        <w:t xml:space="preserve">. </w:t>
      </w:r>
      <w:r w:rsidR="003557EF" w:rsidRPr="00832FF0">
        <w:rPr>
          <w:rFonts w:cstheme="minorHAnsi"/>
        </w:rPr>
        <w:t xml:space="preserve">Scores will be collated and final decisions on funding will be made by our </w:t>
      </w:r>
      <w:r w:rsidR="00EE30D2" w:rsidRPr="00832FF0">
        <w:rPr>
          <w:rFonts w:cstheme="minorHAnsi"/>
        </w:rPr>
        <w:t xml:space="preserve">panel, chaired by Professor Graeme Roy (Dean of External Engagement). </w:t>
      </w:r>
    </w:p>
    <w:bookmarkEnd w:id="3"/>
    <w:p w14:paraId="4E36920A" w14:textId="46E9CF0F" w:rsidR="00105A99" w:rsidRPr="00832FF0" w:rsidRDefault="00105A99" w:rsidP="00036E6C">
      <w:pPr>
        <w:jc w:val="both"/>
        <w:rPr>
          <w:rFonts w:cstheme="minorHAnsi"/>
        </w:rPr>
      </w:pPr>
      <w:r w:rsidRPr="00832FF0">
        <w:rPr>
          <w:rFonts w:cstheme="minorHAnsi"/>
        </w:rPr>
        <w:t xml:space="preserve">Applicants will normally be notified of the decision within </w:t>
      </w:r>
      <w:r w:rsidR="00832FF0">
        <w:rPr>
          <w:rFonts w:cstheme="minorHAnsi"/>
        </w:rPr>
        <w:t>five</w:t>
      </w:r>
      <w:r w:rsidR="00EE30D2" w:rsidRPr="00832FF0">
        <w:rPr>
          <w:rFonts w:cstheme="minorHAnsi"/>
        </w:rPr>
        <w:t xml:space="preserve"> weeks</w:t>
      </w:r>
      <w:r w:rsidR="00B60DEE">
        <w:rPr>
          <w:rFonts w:cstheme="minorHAnsi"/>
        </w:rPr>
        <w:t xml:space="preserve"> of the closing date. </w:t>
      </w:r>
    </w:p>
    <w:p w14:paraId="1E8D7442" w14:textId="305D1F79" w:rsidR="00105A99" w:rsidRPr="00B60DEE" w:rsidRDefault="00105A99" w:rsidP="00036E6C">
      <w:pPr>
        <w:jc w:val="both"/>
        <w:rPr>
          <w:rFonts w:cstheme="minorHAnsi"/>
        </w:rPr>
      </w:pPr>
      <w:r w:rsidRPr="00B60DEE">
        <w:rPr>
          <w:rFonts w:cstheme="minorHAnsi"/>
        </w:rPr>
        <w:t xml:space="preserve">Decisions are final and not subject to appeal. </w:t>
      </w:r>
    </w:p>
    <w:p w14:paraId="109BB54F" w14:textId="77777777" w:rsidR="00105A99" w:rsidRPr="009E1FCE" w:rsidRDefault="00105A99" w:rsidP="00036E6C">
      <w:pPr>
        <w:pStyle w:val="ListParagraph"/>
        <w:ind w:left="360"/>
        <w:jc w:val="both"/>
        <w:rPr>
          <w:rFonts w:cstheme="minorHAnsi"/>
          <w:b/>
        </w:rPr>
      </w:pPr>
    </w:p>
    <w:p w14:paraId="33B1CDA9" w14:textId="1C369594" w:rsidR="00105A99" w:rsidRPr="009E1FCE" w:rsidRDefault="00105A99" w:rsidP="00036E6C">
      <w:pPr>
        <w:pStyle w:val="ListParagraph"/>
        <w:numPr>
          <w:ilvl w:val="0"/>
          <w:numId w:val="4"/>
        </w:numPr>
        <w:jc w:val="both"/>
        <w:rPr>
          <w:rFonts w:cstheme="minorHAnsi"/>
          <w:b/>
        </w:rPr>
      </w:pPr>
      <w:r w:rsidRPr="009E1FCE">
        <w:rPr>
          <w:rFonts w:cstheme="minorHAnsi"/>
          <w:b/>
        </w:rPr>
        <w:t>Assessment Criteria</w:t>
      </w:r>
    </w:p>
    <w:p w14:paraId="75152096" w14:textId="77777777" w:rsidR="00105A99" w:rsidRPr="009E1FCE" w:rsidRDefault="00105A99" w:rsidP="00036E6C">
      <w:pPr>
        <w:pStyle w:val="ListParagraph"/>
        <w:ind w:left="360"/>
        <w:jc w:val="both"/>
        <w:rPr>
          <w:rFonts w:cstheme="minorHAnsi"/>
          <w:b/>
        </w:rPr>
      </w:pPr>
    </w:p>
    <w:p w14:paraId="472BA363" w14:textId="31AAD57B" w:rsidR="00105A99" w:rsidRDefault="00105A99" w:rsidP="00036E6C">
      <w:pPr>
        <w:jc w:val="both"/>
        <w:rPr>
          <w:rFonts w:cstheme="minorHAnsi"/>
        </w:rPr>
      </w:pPr>
      <w:r w:rsidRPr="009E298E">
        <w:rPr>
          <w:rFonts w:cstheme="minorHAnsi"/>
        </w:rPr>
        <w:t xml:space="preserve">Applications will first be assessed for eligibility, and then considered according to the following criteria: </w:t>
      </w:r>
    </w:p>
    <w:p w14:paraId="2AD910D1" w14:textId="76E690CC" w:rsidR="00B22EB9" w:rsidRDefault="008159E0" w:rsidP="00036E6C">
      <w:pPr>
        <w:pStyle w:val="ListParagraph"/>
        <w:numPr>
          <w:ilvl w:val="0"/>
          <w:numId w:val="14"/>
        </w:numPr>
        <w:jc w:val="both"/>
        <w:rPr>
          <w:rFonts w:cstheme="minorHAnsi"/>
        </w:rPr>
      </w:pPr>
      <w:r>
        <w:rPr>
          <w:rFonts w:cstheme="minorHAnsi"/>
        </w:rPr>
        <w:t xml:space="preserve">The potential to generate impact </w:t>
      </w:r>
      <w:r w:rsidR="00AB2910">
        <w:rPr>
          <w:rFonts w:cstheme="minorHAnsi"/>
        </w:rPr>
        <w:t>of reach and excellence. It is understood that not all forms of impact would be achievable within the timeframe of the IAA project, but t</w:t>
      </w:r>
      <w:r w:rsidR="000E4EAB">
        <w:rPr>
          <w:rFonts w:cstheme="minorHAnsi"/>
        </w:rPr>
        <w:t>he p</w:t>
      </w:r>
      <w:r w:rsidR="00923934">
        <w:rPr>
          <w:rFonts w:cstheme="minorHAnsi"/>
        </w:rPr>
        <w:t xml:space="preserve">roposal should </w:t>
      </w:r>
      <w:r w:rsidR="00DD3D11">
        <w:rPr>
          <w:rFonts w:cstheme="minorHAnsi"/>
        </w:rPr>
        <w:t xml:space="preserve">demonstrate a long-term vision of how impact will be achieved. </w:t>
      </w:r>
    </w:p>
    <w:p w14:paraId="08DC0120" w14:textId="4CBDD6A5" w:rsidR="002E10FB" w:rsidRDefault="00982EA9" w:rsidP="00036E6C">
      <w:pPr>
        <w:pStyle w:val="ListParagraph"/>
        <w:numPr>
          <w:ilvl w:val="0"/>
          <w:numId w:val="14"/>
        </w:numPr>
        <w:jc w:val="both"/>
        <w:rPr>
          <w:rFonts w:cstheme="minorHAnsi"/>
        </w:rPr>
      </w:pPr>
      <w:r>
        <w:rPr>
          <w:rFonts w:cstheme="minorHAnsi"/>
        </w:rPr>
        <w:t xml:space="preserve">The </w:t>
      </w:r>
      <w:r w:rsidR="00F3575F">
        <w:rPr>
          <w:rFonts w:cstheme="minorHAnsi"/>
        </w:rPr>
        <w:t>clarity</w:t>
      </w:r>
      <w:r>
        <w:rPr>
          <w:rFonts w:cstheme="minorHAnsi"/>
        </w:rPr>
        <w:t xml:space="preserve"> of the workplan and the </w:t>
      </w:r>
      <w:r w:rsidR="00AC0024">
        <w:rPr>
          <w:rFonts w:cstheme="minorHAnsi"/>
        </w:rPr>
        <w:t xml:space="preserve">probability of achieving the aims and objectives within the timeframe and with the resources requested. </w:t>
      </w:r>
    </w:p>
    <w:p w14:paraId="55B229F0" w14:textId="349941B5" w:rsidR="00AC0024" w:rsidRDefault="00F01614" w:rsidP="00036E6C">
      <w:pPr>
        <w:pStyle w:val="ListParagraph"/>
        <w:numPr>
          <w:ilvl w:val="0"/>
          <w:numId w:val="14"/>
        </w:numPr>
        <w:jc w:val="both"/>
        <w:rPr>
          <w:rFonts w:cstheme="minorHAnsi"/>
        </w:rPr>
      </w:pPr>
      <w:r>
        <w:rPr>
          <w:rFonts w:cstheme="minorHAnsi"/>
        </w:rPr>
        <w:t xml:space="preserve">The quality of the activities </w:t>
      </w:r>
      <w:r w:rsidR="00DE1F7C">
        <w:rPr>
          <w:rFonts w:cstheme="minorHAnsi"/>
        </w:rPr>
        <w:t xml:space="preserve">and the likelihood that </w:t>
      </w:r>
      <w:r w:rsidR="000A10C8">
        <w:rPr>
          <w:rFonts w:cstheme="minorHAnsi"/>
        </w:rPr>
        <w:t>planned outputs will achieve the target outcomes.</w:t>
      </w:r>
    </w:p>
    <w:p w14:paraId="554F7527" w14:textId="3BF0B56B" w:rsidR="000A10C8" w:rsidRDefault="00364AEE" w:rsidP="00036E6C">
      <w:pPr>
        <w:pStyle w:val="ListParagraph"/>
        <w:numPr>
          <w:ilvl w:val="0"/>
          <w:numId w:val="14"/>
        </w:numPr>
        <w:jc w:val="both"/>
        <w:rPr>
          <w:rFonts w:cstheme="minorHAnsi"/>
        </w:rPr>
      </w:pPr>
      <w:r>
        <w:rPr>
          <w:rFonts w:cstheme="minorHAnsi"/>
        </w:rPr>
        <w:t xml:space="preserve">The quality of the </w:t>
      </w:r>
      <w:r w:rsidR="00D546D9">
        <w:rPr>
          <w:rFonts w:cstheme="minorHAnsi"/>
        </w:rPr>
        <w:t>evaluation plan and the likelihood that impact will be captured and demonstrated through the</w:t>
      </w:r>
      <w:r w:rsidR="00DF4DD7">
        <w:rPr>
          <w:rFonts w:cstheme="minorHAnsi"/>
        </w:rPr>
        <w:t xml:space="preserve"> planned evaluation method. </w:t>
      </w:r>
    </w:p>
    <w:p w14:paraId="0B8714AF" w14:textId="26F62D3D" w:rsidR="00DF4DD7" w:rsidRDefault="00DF4DD7" w:rsidP="00036E6C">
      <w:pPr>
        <w:pStyle w:val="ListParagraph"/>
        <w:numPr>
          <w:ilvl w:val="0"/>
          <w:numId w:val="14"/>
        </w:numPr>
        <w:jc w:val="both"/>
        <w:rPr>
          <w:rFonts w:cstheme="minorHAnsi"/>
        </w:rPr>
      </w:pPr>
      <w:r>
        <w:rPr>
          <w:rFonts w:cstheme="minorHAnsi"/>
        </w:rPr>
        <w:t xml:space="preserve">The visibility of the </w:t>
      </w:r>
      <w:r w:rsidR="00AF0A40">
        <w:rPr>
          <w:rFonts w:cstheme="minorHAnsi"/>
        </w:rPr>
        <w:t xml:space="preserve">non-academic </w:t>
      </w:r>
      <w:r w:rsidR="00E25231">
        <w:rPr>
          <w:rFonts w:cstheme="minorHAnsi"/>
        </w:rPr>
        <w:t xml:space="preserve">partner </w:t>
      </w:r>
      <w:r w:rsidR="00023BBF">
        <w:rPr>
          <w:rFonts w:cstheme="minorHAnsi"/>
        </w:rPr>
        <w:t xml:space="preserve">and their commitment to the project and the likelihood that the project would lead to a sustainable collaboration. </w:t>
      </w:r>
    </w:p>
    <w:p w14:paraId="42F79C72" w14:textId="013CA5BE" w:rsidR="005C12AD" w:rsidRPr="005C12AD" w:rsidRDefault="005C12AD" w:rsidP="00036E6C">
      <w:pPr>
        <w:jc w:val="both"/>
        <w:rPr>
          <w:rFonts w:cstheme="minorHAnsi"/>
        </w:rPr>
      </w:pPr>
      <w:r>
        <w:rPr>
          <w:rFonts w:cstheme="minorHAnsi"/>
        </w:rPr>
        <w:t xml:space="preserve">Reviewers will also consider whether projects constitute good value for money, with a clear justification for resources requested. </w:t>
      </w:r>
    </w:p>
    <w:p w14:paraId="11904F37" w14:textId="77777777" w:rsidR="005C12AD" w:rsidRPr="00B22EB9" w:rsidRDefault="005C12AD" w:rsidP="00036E6C">
      <w:pPr>
        <w:pStyle w:val="ListParagraph"/>
        <w:jc w:val="both"/>
        <w:rPr>
          <w:rFonts w:cstheme="minorHAnsi"/>
        </w:rPr>
      </w:pPr>
    </w:p>
    <w:p w14:paraId="01032B0A" w14:textId="469001D1" w:rsidR="00105A99" w:rsidRPr="009E1FCE" w:rsidRDefault="00105A99" w:rsidP="00036E6C">
      <w:pPr>
        <w:pStyle w:val="ListParagraph"/>
        <w:numPr>
          <w:ilvl w:val="0"/>
          <w:numId w:val="4"/>
        </w:numPr>
        <w:jc w:val="both"/>
        <w:rPr>
          <w:rFonts w:cstheme="minorHAnsi"/>
          <w:b/>
        </w:rPr>
      </w:pPr>
      <w:r w:rsidRPr="009E1FCE">
        <w:rPr>
          <w:rFonts w:cstheme="minorHAnsi"/>
          <w:b/>
        </w:rPr>
        <w:t>Reporting</w:t>
      </w:r>
    </w:p>
    <w:p w14:paraId="7196D6E7" w14:textId="0D25F9C8" w:rsidR="00105A99" w:rsidRPr="00B60DEE" w:rsidRDefault="00105A99" w:rsidP="00036E6C">
      <w:pPr>
        <w:jc w:val="both"/>
        <w:rPr>
          <w:rFonts w:cstheme="minorHAnsi"/>
        </w:rPr>
      </w:pPr>
      <w:r w:rsidRPr="00B60DEE">
        <w:rPr>
          <w:rFonts w:cstheme="minorHAnsi"/>
        </w:rPr>
        <w:t xml:space="preserve">Award </w:t>
      </w:r>
      <w:r w:rsidR="000E471F" w:rsidRPr="00B60DEE">
        <w:rPr>
          <w:rFonts w:cstheme="minorHAnsi"/>
          <w:color w:val="000000"/>
        </w:rPr>
        <w:t xml:space="preserve">recipients will be required to approve a Final Expenditure Statement and submit a written report detailing, activities, </w:t>
      </w:r>
      <w:proofErr w:type="gramStart"/>
      <w:r w:rsidR="000E471F" w:rsidRPr="00B60DEE">
        <w:rPr>
          <w:rFonts w:cstheme="minorHAnsi"/>
          <w:color w:val="000000"/>
        </w:rPr>
        <w:t>outputs</w:t>
      </w:r>
      <w:proofErr w:type="gramEnd"/>
      <w:r w:rsidR="000E471F" w:rsidRPr="00B60DEE">
        <w:rPr>
          <w:rFonts w:cstheme="minorHAnsi"/>
          <w:color w:val="000000"/>
        </w:rPr>
        <w:t xml:space="preserve"> and outcomes within 4 weeks of the conclusion of the project. </w:t>
      </w:r>
    </w:p>
    <w:p w14:paraId="42BF4591" w14:textId="7E8112E5" w:rsidR="00105A99" w:rsidRPr="00B60DEE" w:rsidRDefault="00105A99" w:rsidP="00036E6C">
      <w:pPr>
        <w:jc w:val="both"/>
      </w:pPr>
      <w:r w:rsidRPr="1F8FEDE8">
        <w:lastRenderedPageBreak/>
        <w:t xml:space="preserve">Additional </w:t>
      </w:r>
      <w:r w:rsidR="005A5ECE" w:rsidRPr="1F8FEDE8">
        <w:t>reviews</w:t>
      </w:r>
      <w:r w:rsidRPr="1F8FEDE8">
        <w:t xml:space="preserve"> may be conducted at further intervals after the conclusion of projects to track impact leverage over time. </w:t>
      </w:r>
    </w:p>
    <w:p w14:paraId="5EB3D46B" w14:textId="77777777" w:rsidR="00105A99" w:rsidRPr="009E1FCE" w:rsidRDefault="00105A99" w:rsidP="00036E6C">
      <w:pPr>
        <w:pStyle w:val="ListParagraph"/>
        <w:ind w:left="426"/>
        <w:jc w:val="both"/>
        <w:rPr>
          <w:rFonts w:cstheme="minorHAnsi"/>
        </w:rPr>
      </w:pPr>
    </w:p>
    <w:p w14:paraId="34B95397" w14:textId="77777777" w:rsidR="00484818" w:rsidRPr="004140CA" w:rsidRDefault="00484818" w:rsidP="00036E6C">
      <w:pPr>
        <w:jc w:val="both"/>
        <w:rPr>
          <w:rFonts w:cstheme="minorHAnsi"/>
        </w:rPr>
      </w:pPr>
    </w:p>
    <w:sectPr w:rsidR="00484818" w:rsidRPr="004140CA" w:rsidSect="00105A99">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EB3C" w14:textId="77777777" w:rsidR="000870D8" w:rsidRDefault="000870D8" w:rsidP="00105A99">
      <w:pPr>
        <w:spacing w:after="0" w:line="240" w:lineRule="auto"/>
      </w:pPr>
      <w:r>
        <w:separator/>
      </w:r>
    </w:p>
  </w:endnote>
  <w:endnote w:type="continuationSeparator" w:id="0">
    <w:p w14:paraId="49DAEA81" w14:textId="77777777" w:rsidR="000870D8" w:rsidRDefault="000870D8" w:rsidP="0010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B1A3" w14:textId="77777777" w:rsidR="000870D8" w:rsidRDefault="000870D8" w:rsidP="00105A99">
      <w:pPr>
        <w:spacing w:after="0" w:line="240" w:lineRule="auto"/>
      </w:pPr>
      <w:r>
        <w:separator/>
      </w:r>
    </w:p>
  </w:footnote>
  <w:footnote w:type="continuationSeparator" w:id="0">
    <w:p w14:paraId="38690F47" w14:textId="77777777" w:rsidR="000870D8" w:rsidRDefault="000870D8" w:rsidP="0010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157C" w14:textId="79C1DE17" w:rsidR="00105A99" w:rsidRDefault="00105A99">
    <w:pPr>
      <w:pStyle w:val="Header"/>
    </w:pPr>
    <w:r>
      <w:rPr>
        <w:noProof/>
        <w:lang w:eastAsia="en-GB"/>
      </w:rPr>
      <w:drawing>
        <wp:inline distT="0" distB="0" distL="0" distR="0" wp14:anchorId="1D7209E0" wp14:editId="3AF1910B">
          <wp:extent cx="5730875" cy="713105"/>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A5F"/>
    <w:multiLevelType w:val="hybridMultilevel"/>
    <w:tmpl w:val="7D7C9EF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0F0216"/>
    <w:multiLevelType w:val="multilevel"/>
    <w:tmpl w:val="0D5AAE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9C0AEC"/>
    <w:multiLevelType w:val="multilevel"/>
    <w:tmpl w:val="5908F8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01792D"/>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44EBE"/>
    <w:multiLevelType w:val="hybridMultilevel"/>
    <w:tmpl w:val="18CA499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E0E1374"/>
    <w:multiLevelType w:val="multilevel"/>
    <w:tmpl w:val="43CEB3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2D22DD"/>
    <w:multiLevelType w:val="multilevel"/>
    <w:tmpl w:val="43CEB3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FE7973"/>
    <w:multiLevelType w:val="multilevel"/>
    <w:tmpl w:val="0D5AAE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862404"/>
    <w:multiLevelType w:val="multilevel"/>
    <w:tmpl w:val="0D5AAE0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0F51E1"/>
    <w:multiLevelType w:val="multilevel"/>
    <w:tmpl w:val="AB6E0FDE"/>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B209AA"/>
    <w:multiLevelType w:val="hybridMultilevel"/>
    <w:tmpl w:val="CC3CC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334AE7"/>
    <w:multiLevelType w:val="multilevel"/>
    <w:tmpl w:val="8C7A8E92"/>
    <w:lvl w:ilvl="0">
      <w:start w:val="1"/>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15:restartNumberingAfterBreak="0">
    <w:nsid w:val="6B462968"/>
    <w:multiLevelType w:val="multilevel"/>
    <w:tmpl w:val="43CEB3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0817DE"/>
    <w:multiLevelType w:val="hybridMultilevel"/>
    <w:tmpl w:val="C560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462575">
    <w:abstractNumId w:val="0"/>
  </w:num>
  <w:num w:numId="2" w16cid:durableId="255216842">
    <w:abstractNumId w:val="4"/>
  </w:num>
  <w:num w:numId="3" w16cid:durableId="411778727">
    <w:abstractNumId w:val="10"/>
  </w:num>
  <w:num w:numId="4" w16cid:durableId="432285777">
    <w:abstractNumId w:val="3"/>
  </w:num>
  <w:num w:numId="5" w16cid:durableId="1249458070">
    <w:abstractNumId w:val="6"/>
  </w:num>
  <w:num w:numId="6" w16cid:durableId="1288000758">
    <w:abstractNumId w:val="12"/>
  </w:num>
  <w:num w:numId="7" w16cid:durableId="2134248372">
    <w:abstractNumId w:val="5"/>
  </w:num>
  <w:num w:numId="8" w16cid:durableId="416901840">
    <w:abstractNumId w:val="7"/>
  </w:num>
  <w:num w:numId="9" w16cid:durableId="2022512677">
    <w:abstractNumId w:val="8"/>
  </w:num>
  <w:num w:numId="10" w16cid:durableId="2099062718">
    <w:abstractNumId w:val="1"/>
  </w:num>
  <w:num w:numId="11" w16cid:durableId="1591430129">
    <w:abstractNumId w:val="2"/>
  </w:num>
  <w:num w:numId="12" w16cid:durableId="166988264">
    <w:abstractNumId w:val="11"/>
  </w:num>
  <w:num w:numId="13" w16cid:durableId="878277293">
    <w:abstractNumId w:val="9"/>
  </w:num>
  <w:num w:numId="14" w16cid:durableId="2045203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99"/>
    <w:rsid w:val="00010F02"/>
    <w:rsid w:val="00023BBF"/>
    <w:rsid w:val="00036E6C"/>
    <w:rsid w:val="00057956"/>
    <w:rsid w:val="000870D8"/>
    <w:rsid w:val="000A10C8"/>
    <w:rsid w:val="000B127F"/>
    <w:rsid w:val="000E0C75"/>
    <w:rsid w:val="000E471F"/>
    <w:rsid w:val="000E4EAB"/>
    <w:rsid w:val="00105A99"/>
    <w:rsid w:val="001325F6"/>
    <w:rsid w:val="00141EAE"/>
    <w:rsid w:val="0018432A"/>
    <w:rsid w:val="00197271"/>
    <w:rsid w:val="001B5116"/>
    <w:rsid w:val="00282BAF"/>
    <w:rsid w:val="00283AF5"/>
    <w:rsid w:val="002A1FCA"/>
    <w:rsid w:val="002E10FB"/>
    <w:rsid w:val="002E5FAA"/>
    <w:rsid w:val="002F565C"/>
    <w:rsid w:val="003557EF"/>
    <w:rsid w:val="00364AEE"/>
    <w:rsid w:val="00375E06"/>
    <w:rsid w:val="003F55E7"/>
    <w:rsid w:val="00413FEB"/>
    <w:rsid w:val="004140CA"/>
    <w:rsid w:val="00421FB8"/>
    <w:rsid w:val="00447A2C"/>
    <w:rsid w:val="004509C8"/>
    <w:rsid w:val="00462BC3"/>
    <w:rsid w:val="004641FB"/>
    <w:rsid w:val="00481CEC"/>
    <w:rsid w:val="00484818"/>
    <w:rsid w:val="004908C5"/>
    <w:rsid w:val="004C7FBF"/>
    <w:rsid w:val="004E7FE7"/>
    <w:rsid w:val="005417DC"/>
    <w:rsid w:val="0054755A"/>
    <w:rsid w:val="00550153"/>
    <w:rsid w:val="00550A21"/>
    <w:rsid w:val="00563DB4"/>
    <w:rsid w:val="00586582"/>
    <w:rsid w:val="005A5ECE"/>
    <w:rsid w:val="005A5FB2"/>
    <w:rsid w:val="005B66AB"/>
    <w:rsid w:val="005C12AD"/>
    <w:rsid w:val="005C4A93"/>
    <w:rsid w:val="005F177D"/>
    <w:rsid w:val="00640B7A"/>
    <w:rsid w:val="00654F80"/>
    <w:rsid w:val="006B5911"/>
    <w:rsid w:val="006D47DD"/>
    <w:rsid w:val="006E2C3B"/>
    <w:rsid w:val="006E7FDA"/>
    <w:rsid w:val="007400F5"/>
    <w:rsid w:val="007454C0"/>
    <w:rsid w:val="0077106B"/>
    <w:rsid w:val="00776C43"/>
    <w:rsid w:val="00783ABD"/>
    <w:rsid w:val="007B7DFD"/>
    <w:rsid w:val="008159E0"/>
    <w:rsid w:val="0082793E"/>
    <w:rsid w:val="00832FF0"/>
    <w:rsid w:val="008335C7"/>
    <w:rsid w:val="00836743"/>
    <w:rsid w:val="00857867"/>
    <w:rsid w:val="00903CCF"/>
    <w:rsid w:val="00922CED"/>
    <w:rsid w:val="00923934"/>
    <w:rsid w:val="00974A3B"/>
    <w:rsid w:val="0097543B"/>
    <w:rsid w:val="00976590"/>
    <w:rsid w:val="00980571"/>
    <w:rsid w:val="00982EA9"/>
    <w:rsid w:val="009965E4"/>
    <w:rsid w:val="009E1FCE"/>
    <w:rsid w:val="009E298E"/>
    <w:rsid w:val="009F369C"/>
    <w:rsid w:val="00A2112D"/>
    <w:rsid w:val="00A56669"/>
    <w:rsid w:val="00A6638A"/>
    <w:rsid w:val="00A741EC"/>
    <w:rsid w:val="00AB2910"/>
    <w:rsid w:val="00AB5CC6"/>
    <w:rsid w:val="00AC0024"/>
    <w:rsid w:val="00AC3CE4"/>
    <w:rsid w:val="00ACE0E4"/>
    <w:rsid w:val="00AF0A40"/>
    <w:rsid w:val="00B22EB9"/>
    <w:rsid w:val="00B537DF"/>
    <w:rsid w:val="00B60DEE"/>
    <w:rsid w:val="00BC493E"/>
    <w:rsid w:val="00BE6123"/>
    <w:rsid w:val="00C331C5"/>
    <w:rsid w:val="00C8780B"/>
    <w:rsid w:val="00C96C57"/>
    <w:rsid w:val="00CE4D7D"/>
    <w:rsid w:val="00CF7F51"/>
    <w:rsid w:val="00D01D2D"/>
    <w:rsid w:val="00D546D9"/>
    <w:rsid w:val="00D62F85"/>
    <w:rsid w:val="00D8297D"/>
    <w:rsid w:val="00DD3D11"/>
    <w:rsid w:val="00DE1F7C"/>
    <w:rsid w:val="00DF4DD7"/>
    <w:rsid w:val="00E2185E"/>
    <w:rsid w:val="00E25231"/>
    <w:rsid w:val="00E621FE"/>
    <w:rsid w:val="00ED497D"/>
    <w:rsid w:val="00ED5750"/>
    <w:rsid w:val="00ED5EEE"/>
    <w:rsid w:val="00EE30D2"/>
    <w:rsid w:val="00F01614"/>
    <w:rsid w:val="00F3575F"/>
    <w:rsid w:val="00F52054"/>
    <w:rsid w:val="00F53DC2"/>
    <w:rsid w:val="00F643DC"/>
    <w:rsid w:val="00F662A0"/>
    <w:rsid w:val="00F841FA"/>
    <w:rsid w:val="00FB5FDA"/>
    <w:rsid w:val="00FC1526"/>
    <w:rsid w:val="0446563E"/>
    <w:rsid w:val="0548F6E5"/>
    <w:rsid w:val="0669DE80"/>
    <w:rsid w:val="0702FA0B"/>
    <w:rsid w:val="083D42C8"/>
    <w:rsid w:val="0953288D"/>
    <w:rsid w:val="09571E08"/>
    <w:rsid w:val="0B0354BB"/>
    <w:rsid w:val="0DD27C9A"/>
    <w:rsid w:val="0ED716BF"/>
    <w:rsid w:val="0FF255B8"/>
    <w:rsid w:val="11463DA9"/>
    <w:rsid w:val="13211382"/>
    <w:rsid w:val="16EF489B"/>
    <w:rsid w:val="17551A65"/>
    <w:rsid w:val="175A7885"/>
    <w:rsid w:val="17600F72"/>
    <w:rsid w:val="17F9B397"/>
    <w:rsid w:val="18953D68"/>
    <w:rsid w:val="1976531A"/>
    <w:rsid w:val="19F354DE"/>
    <w:rsid w:val="1BE50353"/>
    <w:rsid w:val="1F8FEDE8"/>
    <w:rsid w:val="201A5176"/>
    <w:rsid w:val="28B96DC6"/>
    <w:rsid w:val="28C7EAD2"/>
    <w:rsid w:val="2A04AB6F"/>
    <w:rsid w:val="2A553E27"/>
    <w:rsid w:val="2BC9D464"/>
    <w:rsid w:val="2FC0B0D1"/>
    <w:rsid w:val="2FDDF8E9"/>
    <w:rsid w:val="31841644"/>
    <w:rsid w:val="369AC191"/>
    <w:rsid w:val="390C374D"/>
    <w:rsid w:val="3B4DC511"/>
    <w:rsid w:val="3C675474"/>
    <w:rsid w:val="3CF40837"/>
    <w:rsid w:val="3F2CBE4C"/>
    <w:rsid w:val="3FAD76D4"/>
    <w:rsid w:val="40E290FB"/>
    <w:rsid w:val="4299F136"/>
    <w:rsid w:val="45A2286C"/>
    <w:rsid w:val="4610CB67"/>
    <w:rsid w:val="473DF8CD"/>
    <w:rsid w:val="48EDA2E0"/>
    <w:rsid w:val="4C504CA7"/>
    <w:rsid w:val="4F057506"/>
    <w:rsid w:val="4F9DDBB2"/>
    <w:rsid w:val="51778DEF"/>
    <w:rsid w:val="51B4A1E7"/>
    <w:rsid w:val="537D9CC8"/>
    <w:rsid w:val="55196D29"/>
    <w:rsid w:val="57484EF8"/>
    <w:rsid w:val="58F7DA7E"/>
    <w:rsid w:val="5B7A31A1"/>
    <w:rsid w:val="5C6095FA"/>
    <w:rsid w:val="5EB1D263"/>
    <w:rsid w:val="5ECD623D"/>
    <w:rsid w:val="5FA5FEB9"/>
    <w:rsid w:val="604DA2C4"/>
    <w:rsid w:val="62EA2344"/>
    <w:rsid w:val="63A0D360"/>
    <w:rsid w:val="66A78071"/>
    <w:rsid w:val="6796A4ED"/>
    <w:rsid w:val="6956DEC3"/>
    <w:rsid w:val="6A153681"/>
    <w:rsid w:val="6BFA93E3"/>
    <w:rsid w:val="6C5BE039"/>
    <w:rsid w:val="6C8A0AAE"/>
    <w:rsid w:val="6EA21509"/>
    <w:rsid w:val="6EA7AB8E"/>
    <w:rsid w:val="72530B7E"/>
    <w:rsid w:val="737B5E58"/>
    <w:rsid w:val="7641BB33"/>
    <w:rsid w:val="7705FE9D"/>
    <w:rsid w:val="7B8164AC"/>
    <w:rsid w:val="7D754021"/>
    <w:rsid w:val="7DB82F28"/>
    <w:rsid w:val="7ED34C56"/>
    <w:rsid w:val="7EE26080"/>
    <w:rsid w:val="7F111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5CDD"/>
  <w15:chartTrackingRefBased/>
  <w15:docId w15:val="{F059885A-62BA-4B37-B03A-337BD6E3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A99"/>
    <w:pPr>
      <w:spacing w:after="200" w:line="27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A99"/>
    <w:rPr>
      <w:color w:val="0563C1" w:themeColor="hyperlink"/>
      <w:u w:val="single"/>
    </w:rPr>
  </w:style>
  <w:style w:type="paragraph" w:styleId="ListParagraph">
    <w:name w:val="List Paragraph"/>
    <w:basedOn w:val="Normal"/>
    <w:link w:val="ListParagraphChar"/>
    <w:uiPriority w:val="34"/>
    <w:qFormat/>
    <w:rsid w:val="00105A99"/>
    <w:pPr>
      <w:ind w:left="720"/>
      <w:contextualSpacing/>
    </w:pPr>
  </w:style>
  <w:style w:type="character" w:customStyle="1" w:styleId="ListParagraphChar">
    <w:name w:val="List Paragraph Char"/>
    <w:basedOn w:val="DefaultParagraphFont"/>
    <w:link w:val="ListParagraph"/>
    <w:uiPriority w:val="34"/>
    <w:locked/>
    <w:rsid w:val="00105A99"/>
    <w:rPr>
      <w:lang w:eastAsia="ja-JP"/>
    </w:rPr>
  </w:style>
  <w:style w:type="paragraph" w:customStyle="1" w:styleId="Default">
    <w:name w:val="Default"/>
    <w:basedOn w:val="Normal"/>
    <w:rsid w:val="00105A99"/>
    <w:pPr>
      <w:autoSpaceDE w:val="0"/>
      <w:autoSpaceDN w:val="0"/>
      <w:spacing w:after="0" w:line="240" w:lineRule="auto"/>
    </w:pPr>
    <w:rPr>
      <w:rFonts w:ascii="Calibri" w:eastAsiaTheme="minorHAnsi" w:hAnsi="Calibri" w:cs="Times New Roman"/>
      <w:color w:val="000000"/>
      <w:sz w:val="24"/>
      <w:szCs w:val="24"/>
      <w:lang w:eastAsia="en-GB"/>
    </w:rPr>
  </w:style>
  <w:style w:type="paragraph" w:styleId="Header">
    <w:name w:val="header"/>
    <w:basedOn w:val="Normal"/>
    <w:link w:val="HeaderChar"/>
    <w:uiPriority w:val="99"/>
    <w:unhideWhenUsed/>
    <w:rsid w:val="00105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A99"/>
    <w:rPr>
      <w:lang w:eastAsia="ja-JP"/>
    </w:rPr>
  </w:style>
  <w:style w:type="paragraph" w:styleId="Footer">
    <w:name w:val="footer"/>
    <w:basedOn w:val="Normal"/>
    <w:link w:val="FooterChar"/>
    <w:uiPriority w:val="99"/>
    <w:unhideWhenUsed/>
    <w:rsid w:val="00105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A99"/>
    <w:rPr>
      <w:lang w:eastAsia="ja-JP"/>
    </w:rPr>
  </w:style>
  <w:style w:type="paragraph" w:styleId="NoSpacing">
    <w:name w:val="No Spacing"/>
    <w:uiPriority w:val="1"/>
    <w:qFormat/>
    <w:rsid w:val="00105A99"/>
    <w:pPr>
      <w:spacing w:after="0" w:line="240" w:lineRule="auto"/>
    </w:pPr>
    <w:rPr>
      <w:lang w:eastAsia="ja-JP"/>
    </w:rPr>
  </w:style>
  <w:style w:type="character" w:styleId="UnresolvedMention">
    <w:name w:val="Unresolved Mention"/>
    <w:basedOn w:val="DefaultParagraphFont"/>
    <w:uiPriority w:val="99"/>
    <w:semiHidden/>
    <w:unhideWhenUsed/>
    <w:rsid w:val="00BC493E"/>
    <w:rPr>
      <w:color w:val="605E5C"/>
      <w:shd w:val="clear" w:color="auto" w:fill="E1DFDD"/>
    </w:rPr>
  </w:style>
  <w:style w:type="paragraph" w:styleId="NormalWeb">
    <w:name w:val="Normal (Web)"/>
    <w:basedOn w:val="Normal"/>
    <w:uiPriority w:val="99"/>
    <w:semiHidden/>
    <w:unhideWhenUsed/>
    <w:rsid w:val="00C8780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41EAE"/>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rc.ac.uk/funding/guidance-for-applicants/is-my-research-suitable-for-esrc-funding/discipline-class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sci-esrc-iaa@glasgow.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ocsci-esrc-iaa@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lleges/socialsciences/research/researchsupport/impact/fundingimpact/esrcimpactaccelerationaccount/" TargetMode="External"/><Relationship Id="rId5" Type="http://schemas.openxmlformats.org/officeDocument/2006/relationships/numbering" Target="numbering.xml"/><Relationship Id="rId15" Type="http://schemas.openxmlformats.org/officeDocument/2006/relationships/hyperlink" Target="mailto:socsci-esrc-iaa@glasgow.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Houston@glasgow.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42C41E54A7044B7F0AB4B8DF591AE" ma:contentTypeVersion="15" ma:contentTypeDescription="Create a new document." ma:contentTypeScope="" ma:versionID="9ee0e97ab19672042163507b3dd56796">
  <xsd:schema xmlns:xsd="http://www.w3.org/2001/XMLSchema" xmlns:xs="http://www.w3.org/2001/XMLSchema" xmlns:p="http://schemas.microsoft.com/office/2006/metadata/properties" xmlns:ns2="5a6d8f22-8b0b-4463-943f-fbe0505e0bbb" xmlns:ns3="f9cd14fb-5eb5-444c-8fd5-1cbdfc16d39c" targetNamespace="http://schemas.microsoft.com/office/2006/metadata/properties" ma:root="true" ma:fieldsID="ec11e11e89a36c5354637b7f9426add5" ns2:_="" ns3:_="">
    <xsd:import namespace="5a6d8f22-8b0b-4463-943f-fbe0505e0bbb"/>
    <xsd:import namespace="f9cd14fb-5eb5-444c-8fd5-1cbdfc16d3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8f22-8b0b-4463-943f-fbe0505e0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d14fb-5eb5-444c-8fd5-1cbdfc16d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329757c-f6bb-4ab1-b037-829b87d4bbcf}" ma:internalName="TaxCatchAll" ma:showField="CatchAllData" ma:web="f9cd14fb-5eb5-444c-8fd5-1cbdfc16d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cd14fb-5eb5-444c-8fd5-1cbdfc16d39c" xsi:nil="true"/>
    <lcf76f155ced4ddcb4097134ff3c332f xmlns="5a6d8f22-8b0b-4463-943f-fbe0505e0bbb">
      <Terms xmlns="http://schemas.microsoft.com/office/infopath/2007/PartnerControls"/>
    </lcf76f155ced4ddcb4097134ff3c332f>
    <SharedWithUsers xmlns="f9cd14fb-5eb5-444c-8fd5-1cbdfc16d39c">
      <UserInfo>
        <DisplayName>Fiona Heatlie</DisplayName>
        <AccountId>18</AccountId>
        <AccountType/>
      </UserInfo>
      <UserInfo>
        <DisplayName>Lewis Thomson</DisplayName>
        <AccountId>10</AccountId>
        <AccountType/>
      </UserInfo>
      <UserInfo>
        <DisplayName>Natalia Popielska</DisplayName>
        <AccountId>147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8D33-4836-4804-8AD2-740F139E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8f22-8b0b-4463-943f-fbe0505e0bbb"/>
    <ds:schemaRef ds:uri="f9cd14fb-5eb5-444c-8fd5-1cbdfc16d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C1417-975C-4833-82AF-1A51D69F73C9}">
  <ds:schemaRefs>
    <ds:schemaRef ds:uri="http://schemas.microsoft.com/sharepoint/v3/contenttype/forms"/>
  </ds:schemaRefs>
</ds:datastoreItem>
</file>

<file path=customXml/itemProps3.xml><?xml version="1.0" encoding="utf-8"?>
<ds:datastoreItem xmlns:ds="http://schemas.openxmlformats.org/officeDocument/2006/customXml" ds:itemID="{84E5D95C-5CD7-4E1C-9AD3-491A29E1913A}">
  <ds:schemaRefs>
    <ds:schemaRef ds:uri="http://schemas.microsoft.com/office/2006/metadata/properties"/>
    <ds:schemaRef ds:uri="http://schemas.microsoft.com/office/infopath/2007/PartnerControls"/>
    <ds:schemaRef ds:uri="f9cd14fb-5eb5-444c-8fd5-1cbdfc16d39c"/>
    <ds:schemaRef ds:uri="5a6d8f22-8b0b-4463-943f-fbe0505e0bbb"/>
  </ds:schemaRefs>
</ds:datastoreItem>
</file>

<file path=customXml/itemProps4.xml><?xml version="1.0" encoding="utf-8"?>
<ds:datastoreItem xmlns:ds="http://schemas.openxmlformats.org/officeDocument/2006/customXml" ds:itemID="{9B12A274-2D16-4209-881B-34F0750E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Taggart</dc:creator>
  <cp:keywords/>
  <dc:description/>
  <cp:lastModifiedBy>Natalia Popielska</cp:lastModifiedBy>
  <cp:revision>6</cp:revision>
  <dcterms:created xsi:type="dcterms:W3CDTF">2024-02-01T16:47:00Z</dcterms:created>
  <dcterms:modified xsi:type="dcterms:W3CDTF">2024-02-01T16:51:00Z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0x010100CF642C41E54A7044B7F0AB4B8DF591AE</vt:lpwstr>
  </property>
  <property fmtid="{D5CDD505-2E9C-101B-9397-08002B2CF9AE}" pid="3" name="MediaServiceImageTags">
    <vt:lpwstr/>
  </property>
</Properties>
</file>