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8600" w14:textId="77777777" w:rsidR="000E19E4" w:rsidRDefault="000E19E4">
      <w:pPr>
        <w:pStyle w:val="BodyText"/>
        <w:spacing w:before="8"/>
        <w:ind w:left="0" w:firstLine="0"/>
        <w:rPr>
          <w:rFonts w:ascii="Times New Roman"/>
          <w:sz w:val="29"/>
        </w:rPr>
      </w:pPr>
    </w:p>
    <w:p w14:paraId="1682770F" w14:textId="77777777" w:rsidR="000E19E4" w:rsidRDefault="00000000">
      <w:pPr>
        <w:pStyle w:val="Heading1"/>
        <w:numPr>
          <w:ilvl w:val="0"/>
          <w:numId w:val="4"/>
        </w:numPr>
        <w:tabs>
          <w:tab w:val="left" w:pos="478"/>
        </w:tabs>
      </w:pPr>
      <w:r>
        <w:t>Introduction</w:t>
      </w:r>
    </w:p>
    <w:p w14:paraId="261E31C0" w14:textId="77777777" w:rsidR="000E19E4" w:rsidRDefault="00000000">
      <w:pPr>
        <w:pStyle w:val="BodyText"/>
        <w:spacing w:before="168" w:line="285" w:lineRule="auto"/>
        <w:ind w:left="120" w:right="244" w:firstLine="0"/>
        <w:jc w:val="both"/>
      </w:pPr>
      <w:r>
        <w:t>The University of Glasgow Economic Development Board (UEDB) is being established to provide appropriate governance to the delivery of economic development-related projects and opportunities for the University and its strategic partners.</w:t>
      </w:r>
    </w:p>
    <w:p w14:paraId="6F67482C" w14:textId="77777777" w:rsidR="000E19E4" w:rsidRDefault="00000000">
      <w:pPr>
        <w:pStyle w:val="BodyText"/>
        <w:spacing w:before="117" w:line="285" w:lineRule="auto"/>
        <w:ind w:left="120" w:right="149" w:firstLine="0"/>
      </w:pPr>
      <w:r>
        <w:t>In doing so, our objective is to strengthen our link with the communities that live, learn and work in the area, develop new partnerships and collaborations, and deliver a lasting legacy of economic and social prosperity at a local and regional level.</w:t>
      </w:r>
    </w:p>
    <w:p w14:paraId="6848AD61" w14:textId="77777777" w:rsidR="000E19E4" w:rsidRDefault="00000000">
      <w:pPr>
        <w:pStyle w:val="BodyText"/>
        <w:spacing w:before="117" w:line="285" w:lineRule="auto"/>
        <w:ind w:left="120" w:right="101" w:firstLine="0"/>
      </w:pPr>
      <w:r>
        <w:t>Our approach to economic development is underpinned by the new University of Glasgow Innovation Strategy for 2022-2025, delivery of which will generate multiple benefits for the University and enhance its wider impact. The recent investment in the innovation and economic development functions at the University will support commercialisation through the creation of new companies and foster a strong culture of entrepreneurial activity as key success metrics, which can help drive economic growth in the region. More broadly, enabling a strong culture of innovation helps to attract top talent, industry partnerships, career opportunities, and enhance the University's and the city’s reputation as a leader in entrepreneurship and innovation.</w:t>
      </w:r>
    </w:p>
    <w:p w14:paraId="47304392" w14:textId="77777777" w:rsidR="000E19E4" w:rsidRDefault="00000000">
      <w:pPr>
        <w:pStyle w:val="BodyText"/>
        <w:spacing w:before="113" w:line="285" w:lineRule="auto"/>
        <w:ind w:left="120" w:right="186" w:firstLine="0"/>
      </w:pPr>
      <w:r>
        <w:t>A significant component of the UEDB’s remit will be the governance arrangements for the Glasgow Riverside Innovation District (GRID), a collaborative partnership between the University of Glasgow, Scottish Enterprise and Glasgow City Council. The Scottish Government recently announced GRID as Scotland’s first whole- system testbed. The Board will oversee the development of a multi-year programme of activity as part of our ‘GRID Discovery’ initiative, which will focus on delivering high-impact innovation activity and testing it in the real world. Our approach will capitalise on the testbed opportunity and draw on our research strengths. Our aims will be supported through our partnerships, be informed by the needs of our communities and shaped by the ambitions of Glasgow City Region to ‘have the most Innovative, Inclusive and Resilient Economy in the UK’ by 2030.</w:t>
      </w:r>
    </w:p>
    <w:p w14:paraId="219D1002" w14:textId="77777777" w:rsidR="000E19E4" w:rsidRDefault="00000000">
      <w:pPr>
        <w:pStyle w:val="Heading1"/>
        <w:numPr>
          <w:ilvl w:val="0"/>
          <w:numId w:val="4"/>
        </w:numPr>
        <w:tabs>
          <w:tab w:val="left" w:pos="478"/>
        </w:tabs>
        <w:spacing w:before="208"/>
      </w:pPr>
      <w:r>
        <w:t>Board</w:t>
      </w:r>
      <w:r>
        <w:rPr>
          <w:spacing w:val="1"/>
        </w:rPr>
        <w:t xml:space="preserve"> </w:t>
      </w:r>
      <w:r>
        <w:t>remit</w:t>
      </w:r>
    </w:p>
    <w:p w14:paraId="217BD9A5" w14:textId="77777777" w:rsidR="000E19E4" w:rsidRDefault="000E19E4">
      <w:pPr>
        <w:pStyle w:val="BodyText"/>
        <w:spacing w:before="11"/>
        <w:ind w:left="0" w:firstLine="0"/>
        <w:rPr>
          <w:b/>
          <w:sz w:val="24"/>
        </w:rPr>
      </w:pPr>
    </w:p>
    <w:p w14:paraId="27595C45" w14:textId="77777777" w:rsidR="000E19E4" w:rsidRDefault="00000000">
      <w:pPr>
        <w:pStyle w:val="Heading2"/>
        <w:spacing w:line="261" w:lineRule="auto"/>
        <w:ind w:right="764"/>
        <w:rPr>
          <w:sz w:val="24"/>
        </w:rPr>
      </w:pPr>
      <w:r>
        <w:t>UEDB will oversee strategy implementation and delivery of GRID and the University’s Innovation Strategy and enterprise initiatives through</w:t>
      </w:r>
      <w:r>
        <w:rPr>
          <w:sz w:val="24"/>
        </w:rPr>
        <w:t>:</w:t>
      </w:r>
    </w:p>
    <w:p w14:paraId="2A3587ED" w14:textId="77777777" w:rsidR="000E19E4" w:rsidRDefault="00000000">
      <w:pPr>
        <w:pStyle w:val="ListParagraph"/>
        <w:numPr>
          <w:ilvl w:val="1"/>
          <w:numId w:val="4"/>
        </w:numPr>
        <w:tabs>
          <w:tab w:val="left" w:pos="840"/>
          <w:tab w:val="left" w:pos="841"/>
        </w:tabs>
        <w:spacing w:before="98" w:line="276" w:lineRule="auto"/>
        <w:ind w:right="129"/>
      </w:pPr>
      <w:r>
        <w:t>Helping to set the strategic direction of major economic development, innovation and civic programmes and projects led by the University, such as GRID and GRID Discovery, ensuring that they deliver maximum impact for the regional economy, local communities and the</w:t>
      </w:r>
      <w:r>
        <w:rPr>
          <w:spacing w:val="-12"/>
        </w:rPr>
        <w:t xml:space="preserve"> </w:t>
      </w:r>
      <w:r>
        <w:t>University.</w:t>
      </w:r>
    </w:p>
    <w:p w14:paraId="62AC662A" w14:textId="77777777" w:rsidR="000E19E4" w:rsidRDefault="000E19E4">
      <w:pPr>
        <w:pStyle w:val="BodyText"/>
        <w:spacing w:before="8"/>
        <w:ind w:left="0" w:firstLine="0"/>
      </w:pPr>
    </w:p>
    <w:p w14:paraId="0AD835A6" w14:textId="77777777" w:rsidR="000E19E4" w:rsidRDefault="00000000">
      <w:pPr>
        <w:pStyle w:val="ListParagraph"/>
        <w:numPr>
          <w:ilvl w:val="1"/>
          <w:numId w:val="4"/>
        </w:numPr>
        <w:tabs>
          <w:tab w:val="left" w:pos="840"/>
          <w:tab w:val="left" w:pos="841"/>
        </w:tabs>
        <w:spacing w:line="276" w:lineRule="auto"/>
        <w:ind w:right="682"/>
      </w:pPr>
      <w:r>
        <w:t>Supporting the successful delivery of major economic development, innovation and relevant civic programmes and projects by providing oversight, scrutiny and challenge, and making recommendations on strategic, resource, policy and operational matters regarding such</w:t>
      </w:r>
      <w:r>
        <w:rPr>
          <w:spacing w:val="-32"/>
        </w:rPr>
        <w:t xml:space="preserve"> </w:t>
      </w:r>
      <w:r>
        <w:t>activities.</w:t>
      </w:r>
    </w:p>
    <w:p w14:paraId="238ED35C" w14:textId="77777777" w:rsidR="000E19E4" w:rsidRDefault="000E19E4">
      <w:pPr>
        <w:pStyle w:val="BodyText"/>
        <w:spacing w:before="8"/>
        <w:ind w:left="0" w:firstLine="0"/>
      </w:pPr>
    </w:p>
    <w:p w14:paraId="394F30C9" w14:textId="77777777" w:rsidR="000E19E4" w:rsidRDefault="00000000">
      <w:pPr>
        <w:pStyle w:val="ListParagraph"/>
        <w:numPr>
          <w:ilvl w:val="1"/>
          <w:numId w:val="4"/>
        </w:numPr>
        <w:tabs>
          <w:tab w:val="left" w:pos="840"/>
          <w:tab w:val="left" w:pos="841"/>
        </w:tabs>
        <w:spacing w:line="276" w:lineRule="auto"/>
        <w:ind w:right="504"/>
      </w:pPr>
      <w:r>
        <w:t>Ensuring that local community engagement on major economic development, innovation and civic programmes and projects is effectively co-ordinated across the University and its partners, and that local communities and groups are actively engaged in and benefit from these</w:t>
      </w:r>
      <w:r>
        <w:rPr>
          <w:spacing w:val="-11"/>
        </w:rPr>
        <w:t xml:space="preserve"> </w:t>
      </w:r>
      <w:r>
        <w:t>activities.</w:t>
      </w:r>
    </w:p>
    <w:p w14:paraId="2E0F69FC" w14:textId="77777777" w:rsidR="000E19E4" w:rsidRDefault="000E19E4">
      <w:pPr>
        <w:pStyle w:val="BodyText"/>
        <w:spacing w:before="8"/>
        <w:ind w:left="0" w:firstLine="0"/>
      </w:pPr>
    </w:p>
    <w:p w14:paraId="2061AFA8" w14:textId="77777777" w:rsidR="000E19E4" w:rsidRDefault="00000000">
      <w:pPr>
        <w:pStyle w:val="ListParagraph"/>
        <w:numPr>
          <w:ilvl w:val="1"/>
          <w:numId w:val="4"/>
        </w:numPr>
        <w:tabs>
          <w:tab w:val="left" w:pos="840"/>
          <w:tab w:val="left" w:pos="841"/>
        </w:tabs>
        <w:spacing w:line="276" w:lineRule="auto"/>
        <w:ind w:right="316"/>
      </w:pPr>
      <w:r>
        <w:t>Supporting horizon scanning and providing actionable advice on the impact of the external political, economic, funding and higher education environments in Glasgow, Scotland and the UK, highlighting potential</w:t>
      </w:r>
      <w:r>
        <w:rPr>
          <w:spacing w:val="-4"/>
        </w:rPr>
        <w:t xml:space="preserve"> </w:t>
      </w:r>
      <w:r>
        <w:t>opportunities</w:t>
      </w:r>
      <w:r>
        <w:rPr>
          <w:spacing w:val="-5"/>
        </w:rPr>
        <w:t xml:space="preserve"> </w:t>
      </w:r>
      <w:r>
        <w:t>or</w:t>
      </w:r>
      <w:r>
        <w:rPr>
          <w:spacing w:val="-4"/>
        </w:rPr>
        <w:t xml:space="preserve"> </w:t>
      </w:r>
      <w:r>
        <w:t>risks</w:t>
      </w:r>
      <w:r>
        <w:rPr>
          <w:spacing w:val="-4"/>
        </w:rPr>
        <w:t xml:space="preserve"> </w:t>
      </w:r>
      <w:r>
        <w:t>to</w:t>
      </w:r>
      <w:r>
        <w:rPr>
          <w:spacing w:val="-5"/>
        </w:rPr>
        <w:t xml:space="preserve"> </w:t>
      </w:r>
      <w:r>
        <w:t>the</w:t>
      </w:r>
      <w:r>
        <w:rPr>
          <w:spacing w:val="-5"/>
        </w:rPr>
        <w:t xml:space="preserve"> </w:t>
      </w:r>
      <w:r>
        <w:t>delivery</w:t>
      </w:r>
      <w:r>
        <w:rPr>
          <w:spacing w:val="-2"/>
        </w:rPr>
        <w:t xml:space="preserve"> </w:t>
      </w:r>
      <w:r>
        <w:t>of</w:t>
      </w:r>
      <w:r>
        <w:rPr>
          <w:spacing w:val="-3"/>
        </w:rPr>
        <w:t xml:space="preserve"> </w:t>
      </w:r>
      <w:r>
        <w:t>the</w:t>
      </w:r>
      <w:r>
        <w:rPr>
          <w:spacing w:val="-3"/>
        </w:rPr>
        <w:t xml:space="preserve"> </w:t>
      </w:r>
      <w:r>
        <w:t>University’s</w:t>
      </w:r>
      <w:r>
        <w:rPr>
          <w:spacing w:val="-5"/>
        </w:rPr>
        <w:t xml:space="preserve"> </w:t>
      </w:r>
      <w:r>
        <w:t>strategic</w:t>
      </w:r>
      <w:r>
        <w:rPr>
          <w:spacing w:val="-5"/>
        </w:rPr>
        <w:t xml:space="preserve"> </w:t>
      </w:r>
      <w:r>
        <w:t>ambitions.</w:t>
      </w:r>
      <w:r>
        <w:rPr>
          <w:spacing w:val="-3"/>
        </w:rPr>
        <w:t xml:space="preserve"> </w:t>
      </w:r>
      <w:r>
        <w:t>Ensuring</w:t>
      </w:r>
      <w:r>
        <w:rPr>
          <w:spacing w:val="-5"/>
        </w:rPr>
        <w:t xml:space="preserve"> </w:t>
      </w:r>
      <w:r>
        <w:t>that</w:t>
      </w:r>
      <w:r>
        <w:rPr>
          <w:spacing w:val="-4"/>
        </w:rPr>
        <w:t xml:space="preserve"> </w:t>
      </w:r>
      <w:r>
        <w:t>the</w:t>
      </w:r>
    </w:p>
    <w:p w14:paraId="5E9C81F7" w14:textId="77777777" w:rsidR="000E19E4" w:rsidRDefault="000E19E4">
      <w:pPr>
        <w:spacing w:line="276" w:lineRule="auto"/>
        <w:sectPr w:rsidR="000E19E4" w:rsidSect="00591009">
          <w:headerReference w:type="default" r:id="rId7"/>
          <w:footerReference w:type="default" r:id="rId8"/>
          <w:type w:val="continuous"/>
          <w:pgSz w:w="11910" w:h="16840"/>
          <w:pgMar w:top="1660" w:right="320" w:bottom="940" w:left="600" w:header="283" w:footer="752" w:gutter="0"/>
          <w:pgNumType w:start="1"/>
          <w:cols w:space="720"/>
        </w:sectPr>
      </w:pPr>
    </w:p>
    <w:p w14:paraId="3532DAF1" w14:textId="77777777" w:rsidR="000E19E4" w:rsidRDefault="000E19E4">
      <w:pPr>
        <w:pStyle w:val="BodyText"/>
        <w:spacing w:before="9"/>
        <w:ind w:left="0" w:firstLine="0"/>
        <w:rPr>
          <w:sz w:val="10"/>
        </w:rPr>
      </w:pPr>
    </w:p>
    <w:p w14:paraId="7B060CD7" w14:textId="77777777" w:rsidR="000E19E4" w:rsidRDefault="00000000">
      <w:pPr>
        <w:pStyle w:val="BodyText"/>
        <w:spacing w:before="94" w:line="285" w:lineRule="auto"/>
        <w:ind w:right="149" w:firstLine="0"/>
      </w:pPr>
      <w:r>
        <w:t>Board's membership includes the skills and experience necessary to address its remit effectively. To this end, the Board membership may rotate depending upon which aspect of the economic delivery agenda is under development. Working groups will be formed to support this, with the specific shape evolving to meet priorities.</w:t>
      </w:r>
    </w:p>
    <w:p w14:paraId="32278446" w14:textId="77777777" w:rsidR="000E19E4" w:rsidRDefault="00000000">
      <w:pPr>
        <w:pStyle w:val="Heading1"/>
        <w:numPr>
          <w:ilvl w:val="0"/>
          <w:numId w:val="4"/>
        </w:numPr>
        <w:tabs>
          <w:tab w:val="left" w:pos="478"/>
        </w:tabs>
        <w:spacing w:before="212"/>
      </w:pPr>
      <w:r>
        <w:t>Scheme of</w:t>
      </w:r>
      <w:r>
        <w:rPr>
          <w:spacing w:val="-3"/>
        </w:rPr>
        <w:t xml:space="preserve"> </w:t>
      </w:r>
      <w:r>
        <w:t>Delegation</w:t>
      </w:r>
    </w:p>
    <w:p w14:paraId="310A481F" w14:textId="77777777" w:rsidR="000E19E4" w:rsidRDefault="00000000">
      <w:pPr>
        <w:pStyle w:val="BodyText"/>
        <w:spacing w:before="167" w:line="285" w:lineRule="auto"/>
        <w:ind w:left="120" w:right="186" w:firstLine="0"/>
      </w:pPr>
      <w:r>
        <w:t>The following details the delegated authority for the UEDB and shows how it is placed in the overall University Scheme of Delegation with escalation to Senior Management Group, Finance or Investment Committees or Court:</w:t>
      </w:r>
    </w:p>
    <w:p w14:paraId="727DAD2B" w14:textId="77777777" w:rsidR="000E19E4" w:rsidRDefault="000E19E4">
      <w:pPr>
        <w:pStyle w:val="BodyText"/>
        <w:ind w:left="0" w:firstLine="0"/>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994"/>
        <w:gridCol w:w="4111"/>
        <w:gridCol w:w="2410"/>
      </w:tblGrid>
      <w:tr w:rsidR="000E19E4" w14:paraId="3BBA3BB3" w14:textId="77777777">
        <w:trPr>
          <w:trHeight w:val="299"/>
        </w:trPr>
        <w:tc>
          <w:tcPr>
            <w:tcW w:w="2976" w:type="dxa"/>
            <w:shd w:val="clear" w:color="auto" w:fill="4F5860"/>
          </w:tcPr>
          <w:p w14:paraId="5A6937A4" w14:textId="77777777" w:rsidR="000E19E4" w:rsidRDefault="00000000">
            <w:pPr>
              <w:pStyle w:val="TableParagraph"/>
              <w:spacing w:before="33"/>
              <w:ind w:left="431"/>
              <w:rPr>
                <w:b/>
                <w:sz w:val="20"/>
              </w:rPr>
            </w:pPr>
            <w:r>
              <w:rPr>
                <w:b/>
                <w:color w:val="FFFFFF"/>
                <w:sz w:val="20"/>
              </w:rPr>
              <w:t>Area of Responsibility</w:t>
            </w:r>
          </w:p>
        </w:tc>
        <w:tc>
          <w:tcPr>
            <w:tcW w:w="994" w:type="dxa"/>
            <w:shd w:val="clear" w:color="auto" w:fill="4F5860"/>
          </w:tcPr>
          <w:p w14:paraId="11887382" w14:textId="77777777" w:rsidR="000E19E4" w:rsidRDefault="00000000">
            <w:pPr>
              <w:pStyle w:val="TableParagraph"/>
              <w:spacing w:before="33"/>
              <w:ind w:right="229"/>
              <w:jc w:val="center"/>
              <w:rPr>
                <w:b/>
                <w:sz w:val="20"/>
              </w:rPr>
            </w:pPr>
            <w:r>
              <w:rPr>
                <w:b/>
                <w:color w:val="FFFFFF"/>
                <w:sz w:val="20"/>
              </w:rPr>
              <w:t>Limit</w:t>
            </w:r>
          </w:p>
        </w:tc>
        <w:tc>
          <w:tcPr>
            <w:tcW w:w="4111" w:type="dxa"/>
            <w:shd w:val="clear" w:color="auto" w:fill="4F5860"/>
          </w:tcPr>
          <w:p w14:paraId="3AC40F67" w14:textId="77777777" w:rsidR="000E19E4" w:rsidRDefault="00000000">
            <w:pPr>
              <w:pStyle w:val="TableParagraph"/>
              <w:spacing w:before="33"/>
              <w:ind w:left="288"/>
              <w:rPr>
                <w:b/>
                <w:sz w:val="20"/>
              </w:rPr>
            </w:pPr>
            <w:r>
              <w:rPr>
                <w:b/>
                <w:color w:val="FFFFFF"/>
                <w:sz w:val="20"/>
              </w:rPr>
              <w:t>Decision Making Delegated Authority</w:t>
            </w:r>
          </w:p>
        </w:tc>
        <w:tc>
          <w:tcPr>
            <w:tcW w:w="2410" w:type="dxa"/>
            <w:shd w:val="clear" w:color="auto" w:fill="4F5860"/>
          </w:tcPr>
          <w:p w14:paraId="0E8FBFB5" w14:textId="77777777" w:rsidR="000E19E4" w:rsidRDefault="00000000">
            <w:pPr>
              <w:pStyle w:val="TableParagraph"/>
              <w:spacing w:before="33"/>
              <w:ind w:left="556"/>
              <w:rPr>
                <w:b/>
                <w:sz w:val="20"/>
              </w:rPr>
            </w:pPr>
            <w:r>
              <w:rPr>
                <w:b/>
                <w:color w:val="FFFFFF"/>
                <w:sz w:val="20"/>
              </w:rPr>
              <w:t>Escalation To</w:t>
            </w:r>
          </w:p>
        </w:tc>
      </w:tr>
      <w:tr w:rsidR="000E19E4" w14:paraId="41494555" w14:textId="77777777">
        <w:trPr>
          <w:trHeight w:val="921"/>
        </w:trPr>
        <w:tc>
          <w:tcPr>
            <w:tcW w:w="2976" w:type="dxa"/>
          </w:tcPr>
          <w:p w14:paraId="72911DA9" w14:textId="77777777" w:rsidR="000E19E4" w:rsidRDefault="00000000">
            <w:pPr>
              <w:pStyle w:val="TableParagraph"/>
              <w:ind w:left="182" w:right="171" w:hanging="4"/>
              <w:jc w:val="center"/>
              <w:rPr>
                <w:sz w:val="20"/>
              </w:rPr>
            </w:pPr>
            <w:r>
              <w:rPr>
                <w:sz w:val="20"/>
              </w:rPr>
              <w:t>Approve delivery plans for major economic development and innovation programmes,</w:t>
            </w:r>
          </w:p>
          <w:p w14:paraId="442BE237" w14:textId="77777777" w:rsidR="000E19E4" w:rsidRDefault="00000000">
            <w:pPr>
              <w:pStyle w:val="TableParagraph"/>
              <w:spacing w:before="1" w:line="211" w:lineRule="exact"/>
              <w:ind w:left="300" w:right="297"/>
              <w:jc w:val="center"/>
              <w:rPr>
                <w:sz w:val="20"/>
              </w:rPr>
            </w:pPr>
            <w:r>
              <w:rPr>
                <w:sz w:val="20"/>
              </w:rPr>
              <w:t>projects and initiatives.</w:t>
            </w:r>
          </w:p>
        </w:tc>
        <w:tc>
          <w:tcPr>
            <w:tcW w:w="994" w:type="dxa"/>
          </w:tcPr>
          <w:p w14:paraId="629241B4" w14:textId="77777777" w:rsidR="000E19E4" w:rsidRDefault="000E19E4">
            <w:pPr>
              <w:pStyle w:val="TableParagraph"/>
              <w:ind w:left="0"/>
              <w:rPr>
                <w:sz w:val="30"/>
              </w:rPr>
            </w:pPr>
          </w:p>
          <w:p w14:paraId="1FEF7B8C" w14:textId="77777777" w:rsidR="000E19E4" w:rsidRDefault="00000000">
            <w:pPr>
              <w:pStyle w:val="TableParagraph"/>
              <w:ind w:right="229"/>
              <w:jc w:val="center"/>
              <w:rPr>
                <w:sz w:val="20"/>
              </w:rPr>
            </w:pPr>
            <w:r>
              <w:rPr>
                <w:sz w:val="20"/>
              </w:rPr>
              <w:t>N/A</w:t>
            </w:r>
          </w:p>
        </w:tc>
        <w:tc>
          <w:tcPr>
            <w:tcW w:w="4111" w:type="dxa"/>
          </w:tcPr>
          <w:p w14:paraId="41636594" w14:textId="77777777" w:rsidR="000E19E4" w:rsidRDefault="000E19E4">
            <w:pPr>
              <w:pStyle w:val="TableParagraph"/>
              <w:spacing w:before="11"/>
              <w:ind w:left="0"/>
              <w:rPr>
                <w:sz w:val="19"/>
              </w:rPr>
            </w:pPr>
          </w:p>
          <w:p w14:paraId="1D3CAFB1" w14:textId="77777777" w:rsidR="000E19E4" w:rsidRDefault="00000000">
            <w:pPr>
              <w:pStyle w:val="TableParagraph"/>
              <w:ind w:left="187"/>
              <w:rPr>
                <w:sz w:val="20"/>
              </w:rPr>
            </w:pPr>
            <w:r>
              <w:rPr>
                <w:sz w:val="20"/>
              </w:rPr>
              <w:t>Vice Principal – Economic Development &amp;</w:t>
            </w:r>
          </w:p>
          <w:p w14:paraId="3C2CD35F" w14:textId="77777777" w:rsidR="000E19E4" w:rsidRDefault="00000000">
            <w:pPr>
              <w:pStyle w:val="TableParagraph"/>
              <w:spacing w:before="1"/>
              <w:ind w:left="1334"/>
              <w:rPr>
                <w:sz w:val="20"/>
              </w:rPr>
            </w:pPr>
            <w:r>
              <w:rPr>
                <w:sz w:val="20"/>
              </w:rPr>
              <w:t>Innovation</w:t>
            </w:r>
          </w:p>
        </w:tc>
        <w:tc>
          <w:tcPr>
            <w:tcW w:w="2410" w:type="dxa"/>
          </w:tcPr>
          <w:p w14:paraId="1EB5B496" w14:textId="77777777" w:rsidR="000E19E4" w:rsidRDefault="000E19E4">
            <w:pPr>
              <w:pStyle w:val="TableParagraph"/>
              <w:spacing w:before="11"/>
              <w:ind w:left="0"/>
              <w:rPr>
                <w:sz w:val="19"/>
              </w:rPr>
            </w:pPr>
          </w:p>
          <w:p w14:paraId="3BDDA680" w14:textId="77777777" w:rsidR="000E19E4" w:rsidRDefault="00000000">
            <w:pPr>
              <w:pStyle w:val="TableParagraph"/>
              <w:ind w:left="927" w:right="274" w:hanging="623"/>
              <w:rPr>
                <w:sz w:val="20"/>
              </w:rPr>
            </w:pPr>
            <w:r>
              <w:rPr>
                <w:sz w:val="20"/>
              </w:rPr>
              <w:t>Senior Management Group</w:t>
            </w:r>
          </w:p>
        </w:tc>
      </w:tr>
      <w:tr w:rsidR="000E19E4" w14:paraId="50E2B508" w14:textId="77777777">
        <w:trPr>
          <w:trHeight w:val="688"/>
        </w:trPr>
        <w:tc>
          <w:tcPr>
            <w:tcW w:w="2976" w:type="dxa"/>
          </w:tcPr>
          <w:p w14:paraId="32F596A3" w14:textId="77777777" w:rsidR="000E19E4" w:rsidRDefault="00000000">
            <w:pPr>
              <w:pStyle w:val="TableParagraph"/>
              <w:ind w:left="576" w:right="566"/>
              <w:jc w:val="center"/>
              <w:rPr>
                <w:sz w:val="20"/>
              </w:rPr>
            </w:pPr>
            <w:r>
              <w:rPr>
                <w:sz w:val="20"/>
              </w:rPr>
              <w:t xml:space="preserve">Approve economic </w:t>
            </w:r>
            <w:r>
              <w:rPr>
                <w:w w:val="95"/>
                <w:sz w:val="20"/>
              </w:rPr>
              <w:t>development-related</w:t>
            </w:r>
          </w:p>
          <w:p w14:paraId="12A0AD01" w14:textId="77777777" w:rsidR="000E19E4" w:rsidRDefault="00000000">
            <w:pPr>
              <w:pStyle w:val="TableParagraph"/>
              <w:spacing w:line="209" w:lineRule="exact"/>
              <w:ind w:left="304" w:right="297"/>
              <w:jc w:val="center"/>
              <w:rPr>
                <w:sz w:val="20"/>
              </w:rPr>
            </w:pPr>
            <w:r>
              <w:rPr>
                <w:sz w:val="20"/>
              </w:rPr>
              <w:t>communication strategies.</w:t>
            </w:r>
          </w:p>
        </w:tc>
        <w:tc>
          <w:tcPr>
            <w:tcW w:w="994" w:type="dxa"/>
          </w:tcPr>
          <w:p w14:paraId="3919C546" w14:textId="77777777" w:rsidR="000E19E4" w:rsidRDefault="000E19E4">
            <w:pPr>
              <w:pStyle w:val="TableParagraph"/>
              <w:spacing w:before="8"/>
              <w:ind w:left="0"/>
              <w:rPr>
                <w:sz w:val="19"/>
              </w:rPr>
            </w:pPr>
          </w:p>
          <w:p w14:paraId="2CB1D3F7" w14:textId="77777777" w:rsidR="000E19E4" w:rsidRDefault="00000000">
            <w:pPr>
              <w:pStyle w:val="TableParagraph"/>
              <w:spacing w:before="1"/>
              <w:ind w:right="229"/>
              <w:jc w:val="center"/>
              <w:rPr>
                <w:sz w:val="20"/>
              </w:rPr>
            </w:pPr>
            <w:r>
              <w:rPr>
                <w:sz w:val="20"/>
              </w:rPr>
              <w:t>N/A</w:t>
            </w:r>
          </w:p>
        </w:tc>
        <w:tc>
          <w:tcPr>
            <w:tcW w:w="4111" w:type="dxa"/>
          </w:tcPr>
          <w:p w14:paraId="3D1D73C9" w14:textId="77777777" w:rsidR="000E19E4" w:rsidRDefault="00000000">
            <w:pPr>
              <w:pStyle w:val="TableParagraph"/>
              <w:spacing w:before="112"/>
              <w:ind w:left="187"/>
              <w:rPr>
                <w:sz w:val="20"/>
              </w:rPr>
            </w:pPr>
            <w:r>
              <w:rPr>
                <w:sz w:val="20"/>
              </w:rPr>
              <w:t>Vice Principal – Economic Development &amp;</w:t>
            </w:r>
          </w:p>
          <w:p w14:paraId="2DEFC3AE" w14:textId="77777777" w:rsidR="000E19E4" w:rsidRDefault="00000000">
            <w:pPr>
              <w:pStyle w:val="TableParagraph"/>
              <w:ind w:left="1334"/>
              <w:rPr>
                <w:sz w:val="20"/>
              </w:rPr>
            </w:pPr>
            <w:r>
              <w:rPr>
                <w:sz w:val="20"/>
              </w:rPr>
              <w:t>Innovation</w:t>
            </w:r>
          </w:p>
        </w:tc>
        <w:tc>
          <w:tcPr>
            <w:tcW w:w="2410" w:type="dxa"/>
          </w:tcPr>
          <w:p w14:paraId="6232C5FF" w14:textId="77777777" w:rsidR="000E19E4" w:rsidRDefault="00000000">
            <w:pPr>
              <w:pStyle w:val="TableParagraph"/>
              <w:spacing w:before="112"/>
              <w:ind w:left="927" w:right="274" w:hanging="623"/>
              <w:rPr>
                <w:sz w:val="20"/>
              </w:rPr>
            </w:pPr>
            <w:r>
              <w:rPr>
                <w:sz w:val="20"/>
              </w:rPr>
              <w:t>Senior Management Group</w:t>
            </w:r>
          </w:p>
        </w:tc>
      </w:tr>
      <w:tr w:rsidR="000E19E4" w14:paraId="3DA3AF8C" w14:textId="77777777">
        <w:trPr>
          <w:trHeight w:val="690"/>
        </w:trPr>
        <w:tc>
          <w:tcPr>
            <w:tcW w:w="2976" w:type="dxa"/>
          </w:tcPr>
          <w:p w14:paraId="2447D53D" w14:textId="77777777" w:rsidR="000E19E4" w:rsidRDefault="00000000">
            <w:pPr>
              <w:pStyle w:val="TableParagraph"/>
              <w:spacing w:before="3" w:line="230" w:lineRule="exact"/>
              <w:ind w:left="114" w:right="107" w:firstLine="2"/>
              <w:jc w:val="center"/>
              <w:rPr>
                <w:sz w:val="20"/>
              </w:rPr>
            </w:pPr>
            <w:r>
              <w:rPr>
                <w:sz w:val="20"/>
              </w:rPr>
              <w:t>Approve local community engagement strategies</w:t>
            </w:r>
            <w:r>
              <w:rPr>
                <w:spacing w:val="-12"/>
                <w:sz w:val="20"/>
              </w:rPr>
              <w:t xml:space="preserve"> </w:t>
            </w:r>
            <w:r>
              <w:rPr>
                <w:sz w:val="20"/>
              </w:rPr>
              <w:t>relating to</w:t>
            </w:r>
            <w:r>
              <w:rPr>
                <w:spacing w:val="-2"/>
                <w:sz w:val="20"/>
              </w:rPr>
              <w:t xml:space="preserve"> </w:t>
            </w:r>
            <w:r>
              <w:rPr>
                <w:sz w:val="20"/>
              </w:rPr>
              <w:t>GRID.</w:t>
            </w:r>
          </w:p>
        </w:tc>
        <w:tc>
          <w:tcPr>
            <w:tcW w:w="994" w:type="dxa"/>
          </w:tcPr>
          <w:p w14:paraId="72CC5D20" w14:textId="77777777" w:rsidR="000E19E4" w:rsidRDefault="000E19E4">
            <w:pPr>
              <w:pStyle w:val="TableParagraph"/>
              <w:spacing w:before="11"/>
              <w:ind w:left="0"/>
              <w:rPr>
                <w:sz w:val="19"/>
              </w:rPr>
            </w:pPr>
          </w:p>
          <w:p w14:paraId="251D77E8" w14:textId="77777777" w:rsidR="000E19E4" w:rsidRDefault="00000000">
            <w:pPr>
              <w:pStyle w:val="TableParagraph"/>
              <w:ind w:right="229"/>
              <w:jc w:val="center"/>
              <w:rPr>
                <w:sz w:val="20"/>
              </w:rPr>
            </w:pPr>
            <w:r>
              <w:rPr>
                <w:sz w:val="20"/>
              </w:rPr>
              <w:t>N/A</w:t>
            </w:r>
          </w:p>
        </w:tc>
        <w:tc>
          <w:tcPr>
            <w:tcW w:w="4111" w:type="dxa"/>
          </w:tcPr>
          <w:p w14:paraId="768DCCAE" w14:textId="77777777" w:rsidR="000E19E4" w:rsidRDefault="00000000">
            <w:pPr>
              <w:pStyle w:val="TableParagraph"/>
              <w:spacing w:before="114"/>
              <w:ind w:left="187"/>
              <w:rPr>
                <w:sz w:val="20"/>
              </w:rPr>
            </w:pPr>
            <w:r>
              <w:rPr>
                <w:sz w:val="20"/>
              </w:rPr>
              <w:t>Vice Principal – Economic Development &amp;</w:t>
            </w:r>
          </w:p>
          <w:p w14:paraId="38F22167" w14:textId="77777777" w:rsidR="000E19E4" w:rsidRDefault="00000000">
            <w:pPr>
              <w:pStyle w:val="TableParagraph"/>
              <w:spacing w:before="1"/>
              <w:ind w:left="1334"/>
              <w:rPr>
                <w:sz w:val="20"/>
              </w:rPr>
            </w:pPr>
            <w:r>
              <w:rPr>
                <w:sz w:val="20"/>
              </w:rPr>
              <w:t>Innovation</w:t>
            </w:r>
          </w:p>
        </w:tc>
        <w:tc>
          <w:tcPr>
            <w:tcW w:w="2410" w:type="dxa"/>
          </w:tcPr>
          <w:p w14:paraId="3BF83F5D" w14:textId="77777777" w:rsidR="000E19E4" w:rsidRDefault="00000000">
            <w:pPr>
              <w:pStyle w:val="TableParagraph"/>
              <w:spacing w:before="114"/>
              <w:ind w:left="927" w:right="274" w:hanging="623"/>
              <w:rPr>
                <w:sz w:val="20"/>
              </w:rPr>
            </w:pPr>
            <w:r>
              <w:rPr>
                <w:sz w:val="20"/>
              </w:rPr>
              <w:t>Senior Management Group</w:t>
            </w:r>
          </w:p>
        </w:tc>
      </w:tr>
      <w:tr w:rsidR="000E19E4" w14:paraId="1C5A29E6" w14:textId="77777777">
        <w:trPr>
          <w:trHeight w:val="556"/>
        </w:trPr>
        <w:tc>
          <w:tcPr>
            <w:tcW w:w="2976" w:type="dxa"/>
          </w:tcPr>
          <w:p w14:paraId="4B9262C1" w14:textId="77777777" w:rsidR="000E19E4" w:rsidRDefault="00000000">
            <w:pPr>
              <w:pStyle w:val="TableParagraph"/>
              <w:spacing w:before="47"/>
              <w:ind w:left="414" w:right="125" w:hanging="262"/>
              <w:rPr>
                <w:sz w:val="20"/>
              </w:rPr>
            </w:pPr>
            <w:r>
              <w:rPr>
                <w:sz w:val="20"/>
              </w:rPr>
              <w:t>Approve plans for post-project implementation reviews.</w:t>
            </w:r>
          </w:p>
        </w:tc>
        <w:tc>
          <w:tcPr>
            <w:tcW w:w="994" w:type="dxa"/>
          </w:tcPr>
          <w:p w14:paraId="49E3583C" w14:textId="77777777" w:rsidR="000E19E4" w:rsidRDefault="00000000">
            <w:pPr>
              <w:pStyle w:val="TableParagraph"/>
              <w:spacing w:before="163"/>
              <w:ind w:right="229"/>
              <w:jc w:val="center"/>
              <w:rPr>
                <w:sz w:val="20"/>
              </w:rPr>
            </w:pPr>
            <w:r>
              <w:rPr>
                <w:sz w:val="20"/>
              </w:rPr>
              <w:t>N/A</w:t>
            </w:r>
          </w:p>
        </w:tc>
        <w:tc>
          <w:tcPr>
            <w:tcW w:w="4111" w:type="dxa"/>
          </w:tcPr>
          <w:p w14:paraId="31BCD2A2" w14:textId="77777777" w:rsidR="000E19E4" w:rsidRDefault="00000000">
            <w:pPr>
              <w:pStyle w:val="TableParagraph"/>
              <w:spacing w:before="47" w:line="229" w:lineRule="exact"/>
              <w:ind w:left="187"/>
              <w:rPr>
                <w:sz w:val="20"/>
              </w:rPr>
            </w:pPr>
            <w:r>
              <w:rPr>
                <w:sz w:val="20"/>
              </w:rPr>
              <w:t>Vice Principal – Economic Development &amp;</w:t>
            </w:r>
          </w:p>
          <w:p w14:paraId="33E96CB7" w14:textId="77777777" w:rsidR="000E19E4" w:rsidRDefault="00000000">
            <w:pPr>
              <w:pStyle w:val="TableParagraph"/>
              <w:spacing w:line="229" w:lineRule="exact"/>
              <w:ind w:left="1334"/>
              <w:rPr>
                <w:sz w:val="20"/>
              </w:rPr>
            </w:pPr>
            <w:r>
              <w:rPr>
                <w:sz w:val="20"/>
              </w:rPr>
              <w:t>Innovation</w:t>
            </w:r>
          </w:p>
        </w:tc>
        <w:tc>
          <w:tcPr>
            <w:tcW w:w="2410" w:type="dxa"/>
          </w:tcPr>
          <w:p w14:paraId="1CFC767C" w14:textId="77777777" w:rsidR="000E19E4" w:rsidRDefault="00000000">
            <w:pPr>
              <w:pStyle w:val="TableParagraph"/>
              <w:spacing w:before="47"/>
              <w:ind w:left="927" w:right="274" w:hanging="623"/>
              <w:rPr>
                <w:sz w:val="20"/>
              </w:rPr>
            </w:pPr>
            <w:r>
              <w:rPr>
                <w:sz w:val="20"/>
              </w:rPr>
              <w:t>Senior Management Group</w:t>
            </w:r>
          </w:p>
        </w:tc>
      </w:tr>
      <w:tr w:rsidR="000E19E4" w14:paraId="1E317249" w14:textId="77777777">
        <w:trPr>
          <w:trHeight w:val="561"/>
        </w:trPr>
        <w:tc>
          <w:tcPr>
            <w:tcW w:w="2976" w:type="dxa"/>
          </w:tcPr>
          <w:p w14:paraId="4A060E88" w14:textId="77777777" w:rsidR="000E19E4" w:rsidRDefault="00000000">
            <w:pPr>
              <w:pStyle w:val="TableParagraph"/>
              <w:spacing w:before="50"/>
              <w:ind w:left="842" w:hanging="733"/>
              <w:rPr>
                <w:sz w:val="20"/>
              </w:rPr>
            </w:pPr>
            <w:r>
              <w:rPr>
                <w:sz w:val="20"/>
              </w:rPr>
              <w:t>Approve monitoring and review arrangements.</w:t>
            </w:r>
          </w:p>
        </w:tc>
        <w:tc>
          <w:tcPr>
            <w:tcW w:w="994" w:type="dxa"/>
          </w:tcPr>
          <w:p w14:paraId="6568572A" w14:textId="77777777" w:rsidR="000E19E4" w:rsidRDefault="00000000">
            <w:pPr>
              <w:pStyle w:val="TableParagraph"/>
              <w:spacing w:before="165"/>
              <w:ind w:right="229"/>
              <w:jc w:val="center"/>
              <w:rPr>
                <w:sz w:val="20"/>
              </w:rPr>
            </w:pPr>
            <w:r>
              <w:rPr>
                <w:sz w:val="20"/>
              </w:rPr>
              <w:t>N/A</w:t>
            </w:r>
          </w:p>
        </w:tc>
        <w:tc>
          <w:tcPr>
            <w:tcW w:w="4111" w:type="dxa"/>
          </w:tcPr>
          <w:p w14:paraId="6EE4C557" w14:textId="77777777" w:rsidR="000E19E4" w:rsidRDefault="00000000">
            <w:pPr>
              <w:pStyle w:val="TableParagraph"/>
              <w:spacing w:before="50"/>
              <w:ind w:left="187"/>
              <w:rPr>
                <w:sz w:val="20"/>
              </w:rPr>
            </w:pPr>
            <w:r>
              <w:rPr>
                <w:sz w:val="20"/>
              </w:rPr>
              <w:t>Vice Principal – Economic Development &amp;</w:t>
            </w:r>
          </w:p>
          <w:p w14:paraId="597387B3" w14:textId="77777777" w:rsidR="000E19E4" w:rsidRDefault="00000000">
            <w:pPr>
              <w:pStyle w:val="TableParagraph"/>
              <w:ind w:left="1334"/>
              <w:rPr>
                <w:sz w:val="20"/>
              </w:rPr>
            </w:pPr>
            <w:r>
              <w:rPr>
                <w:sz w:val="20"/>
              </w:rPr>
              <w:t>Innovation</w:t>
            </w:r>
          </w:p>
        </w:tc>
        <w:tc>
          <w:tcPr>
            <w:tcW w:w="2410" w:type="dxa"/>
          </w:tcPr>
          <w:p w14:paraId="4029C9D9" w14:textId="77777777" w:rsidR="000E19E4" w:rsidRDefault="00000000">
            <w:pPr>
              <w:pStyle w:val="TableParagraph"/>
              <w:spacing w:before="50"/>
              <w:ind w:left="927" w:right="274" w:hanging="623"/>
              <w:rPr>
                <w:sz w:val="20"/>
              </w:rPr>
            </w:pPr>
            <w:r>
              <w:rPr>
                <w:sz w:val="20"/>
              </w:rPr>
              <w:t>Senior Management Group</w:t>
            </w:r>
          </w:p>
        </w:tc>
      </w:tr>
    </w:tbl>
    <w:p w14:paraId="69FA15EF" w14:textId="77777777" w:rsidR="000E19E4" w:rsidRDefault="00000000">
      <w:pPr>
        <w:pStyle w:val="BodyText"/>
        <w:spacing w:before="168" w:line="285" w:lineRule="auto"/>
        <w:ind w:left="120" w:right="847" w:firstLine="0"/>
      </w:pPr>
      <w:r>
        <w:t>Approval of any items requiring additional financial resources will be reserved to the relevant University governance committees and follow standard approval processes.</w:t>
      </w:r>
    </w:p>
    <w:p w14:paraId="3A28739A" w14:textId="77777777" w:rsidR="000E19E4" w:rsidRDefault="00000000">
      <w:pPr>
        <w:pStyle w:val="Heading1"/>
        <w:numPr>
          <w:ilvl w:val="0"/>
          <w:numId w:val="4"/>
        </w:numPr>
        <w:tabs>
          <w:tab w:val="left" w:pos="478"/>
        </w:tabs>
        <w:spacing w:before="215"/>
      </w:pPr>
      <w:r>
        <w:t>Working Groups</w:t>
      </w:r>
    </w:p>
    <w:p w14:paraId="3CE7A580" w14:textId="77777777" w:rsidR="000E19E4" w:rsidRDefault="00000000">
      <w:pPr>
        <w:pStyle w:val="BodyText"/>
        <w:spacing w:before="168" w:line="285" w:lineRule="auto"/>
        <w:ind w:left="120" w:right="236" w:firstLine="0"/>
      </w:pPr>
      <w:r>
        <w:t>Thematic working groups will be established as necessary to support the work of the UEDB, with working groups reporting a standing item for all UEDB meetings. The respective chairs of the working groups will be responsible for taking forward actions and ensuring any papers are delivered in time to be circulated to board members ahead of meetings. The initial working groups will be based around the following themes but will evolve as we see delivery take shape and priorities crystalise. The terms of reference for these groups will be developed in partnership with the parties invited to sit on the groups.</w:t>
      </w:r>
    </w:p>
    <w:p w14:paraId="1DC4EF14" w14:textId="77777777" w:rsidR="000E19E4" w:rsidRDefault="00000000">
      <w:pPr>
        <w:pStyle w:val="ListParagraph"/>
        <w:numPr>
          <w:ilvl w:val="0"/>
          <w:numId w:val="3"/>
        </w:numPr>
        <w:tabs>
          <w:tab w:val="left" w:pos="840"/>
          <w:tab w:val="left" w:pos="841"/>
        </w:tabs>
        <w:spacing w:before="98"/>
      </w:pPr>
      <w:r>
        <w:t>Enabling</w:t>
      </w:r>
      <w:r>
        <w:rPr>
          <w:spacing w:val="-1"/>
        </w:rPr>
        <w:t xml:space="preserve"> </w:t>
      </w:r>
      <w:r>
        <w:t>innovation</w:t>
      </w:r>
    </w:p>
    <w:p w14:paraId="271481FF" w14:textId="77777777" w:rsidR="000E19E4" w:rsidRDefault="00000000">
      <w:pPr>
        <w:pStyle w:val="ListParagraph"/>
        <w:numPr>
          <w:ilvl w:val="0"/>
          <w:numId w:val="3"/>
        </w:numPr>
        <w:tabs>
          <w:tab w:val="left" w:pos="840"/>
          <w:tab w:val="left" w:pos="841"/>
        </w:tabs>
        <w:spacing w:before="31"/>
      </w:pPr>
      <w:r>
        <w:t>Enabling infrastructure (this will oversee major programmes within</w:t>
      </w:r>
      <w:r>
        <w:rPr>
          <w:spacing w:val="-6"/>
        </w:rPr>
        <w:t xml:space="preserve"> </w:t>
      </w:r>
      <w:r>
        <w:t>GRID)</w:t>
      </w:r>
    </w:p>
    <w:p w14:paraId="58CBE229" w14:textId="77777777" w:rsidR="000E19E4" w:rsidRDefault="00000000">
      <w:pPr>
        <w:pStyle w:val="ListParagraph"/>
        <w:numPr>
          <w:ilvl w:val="0"/>
          <w:numId w:val="3"/>
        </w:numPr>
        <w:tabs>
          <w:tab w:val="left" w:pos="840"/>
          <w:tab w:val="left" w:pos="841"/>
        </w:tabs>
        <w:spacing w:before="30"/>
      </w:pPr>
      <w:r>
        <w:t>Community and civic</w:t>
      </w:r>
      <w:r>
        <w:rPr>
          <w:spacing w:val="-4"/>
        </w:rPr>
        <w:t xml:space="preserve"> </w:t>
      </w:r>
      <w:r>
        <w:t>engagement</w:t>
      </w:r>
    </w:p>
    <w:p w14:paraId="20B02686" w14:textId="77777777" w:rsidR="000E19E4" w:rsidRDefault="00000000">
      <w:pPr>
        <w:pStyle w:val="ListParagraph"/>
        <w:numPr>
          <w:ilvl w:val="0"/>
          <w:numId w:val="3"/>
        </w:numPr>
        <w:tabs>
          <w:tab w:val="left" w:pos="840"/>
          <w:tab w:val="left" w:pos="841"/>
        </w:tabs>
        <w:spacing w:before="31"/>
      </w:pPr>
      <w:r>
        <w:t>Data and</w:t>
      </w:r>
      <w:r>
        <w:rPr>
          <w:spacing w:val="-2"/>
        </w:rPr>
        <w:t xml:space="preserve"> </w:t>
      </w:r>
      <w:r>
        <w:t>metrics</w:t>
      </w:r>
    </w:p>
    <w:p w14:paraId="20C29E2D" w14:textId="77777777" w:rsidR="000E19E4" w:rsidRDefault="00000000">
      <w:pPr>
        <w:pStyle w:val="ListParagraph"/>
        <w:numPr>
          <w:ilvl w:val="0"/>
          <w:numId w:val="3"/>
        </w:numPr>
        <w:tabs>
          <w:tab w:val="left" w:pos="840"/>
          <w:tab w:val="left" w:pos="841"/>
        </w:tabs>
        <w:spacing w:before="31"/>
      </w:pPr>
      <w:r>
        <w:t>Communications and</w:t>
      </w:r>
      <w:r>
        <w:rPr>
          <w:spacing w:val="-4"/>
        </w:rPr>
        <w:t xml:space="preserve"> </w:t>
      </w:r>
      <w:r>
        <w:t>marketing</w:t>
      </w:r>
    </w:p>
    <w:p w14:paraId="653AE05D" w14:textId="77777777" w:rsidR="000E19E4" w:rsidRDefault="000E19E4">
      <w:pPr>
        <w:pStyle w:val="BodyText"/>
        <w:spacing w:before="9"/>
        <w:ind w:left="0" w:firstLine="0"/>
      </w:pPr>
    </w:p>
    <w:p w14:paraId="1EBE3C95" w14:textId="77777777" w:rsidR="000E19E4" w:rsidRDefault="00000000">
      <w:pPr>
        <w:pStyle w:val="ListParagraph"/>
        <w:numPr>
          <w:ilvl w:val="0"/>
          <w:numId w:val="4"/>
        </w:numPr>
        <w:tabs>
          <w:tab w:val="left" w:pos="478"/>
        </w:tabs>
        <w:spacing w:line="391" w:lineRule="auto"/>
        <w:ind w:left="120" w:right="8330" w:firstLine="0"/>
        <w:rPr>
          <w:i/>
        </w:rPr>
      </w:pPr>
      <w:r>
        <w:rPr>
          <w:b/>
          <w:sz w:val="24"/>
        </w:rPr>
        <w:t xml:space="preserve">Board </w:t>
      </w:r>
      <w:r>
        <w:rPr>
          <w:b/>
          <w:spacing w:val="-3"/>
          <w:sz w:val="24"/>
        </w:rPr>
        <w:t xml:space="preserve">Membership </w:t>
      </w:r>
      <w:r>
        <w:rPr>
          <w:b/>
        </w:rPr>
        <w:t xml:space="preserve">Core Membership </w:t>
      </w:r>
      <w:r>
        <w:rPr>
          <w:i/>
        </w:rPr>
        <w:t>Internal</w:t>
      </w:r>
    </w:p>
    <w:p w14:paraId="0326F015" w14:textId="77777777" w:rsidR="000E19E4" w:rsidRDefault="00000000">
      <w:pPr>
        <w:pStyle w:val="ListParagraph"/>
        <w:numPr>
          <w:ilvl w:val="1"/>
          <w:numId w:val="4"/>
        </w:numPr>
        <w:tabs>
          <w:tab w:val="left" w:pos="840"/>
          <w:tab w:val="left" w:pos="841"/>
        </w:tabs>
        <w:spacing w:line="269" w:lineRule="exact"/>
      </w:pPr>
      <w:r>
        <w:rPr>
          <w:b/>
        </w:rPr>
        <w:t>Uzma Khan</w:t>
      </w:r>
      <w:r>
        <w:t>, Vice Principal - Economic Development and Innovation</w:t>
      </w:r>
      <w:r>
        <w:rPr>
          <w:spacing w:val="-3"/>
        </w:rPr>
        <w:t xml:space="preserve"> </w:t>
      </w:r>
      <w:r>
        <w:t>(Chair)</w:t>
      </w:r>
    </w:p>
    <w:p w14:paraId="07D501D7" w14:textId="77777777" w:rsidR="000E19E4" w:rsidRDefault="00000000">
      <w:pPr>
        <w:pStyle w:val="ListParagraph"/>
        <w:numPr>
          <w:ilvl w:val="1"/>
          <w:numId w:val="4"/>
        </w:numPr>
        <w:tabs>
          <w:tab w:val="left" w:pos="840"/>
          <w:tab w:val="left" w:pos="841"/>
        </w:tabs>
        <w:spacing w:line="305" w:lineRule="exact"/>
      </w:pPr>
      <w:r>
        <w:rPr>
          <w:b/>
        </w:rPr>
        <w:t>Mike King</w:t>
      </w:r>
      <w:r>
        <w:t>, Director of Economic Development</w:t>
      </w:r>
      <w:r>
        <w:rPr>
          <w:spacing w:val="-4"/>
        </w:rPr>
        <w:t xml:space="preserve"> </w:t>
      </w:r>
      <w:r>
        <w:t>(Vice-Chair)</w:t>
      </w:r>
    </w:p>
    <w:p w14:paraId="11B44F08" w14:textId="77777777" w:rsidR="000E19E4" w:rsidRDefault="000E19E4">
      <w:pPr>
        <w:spacing w:line="305" w:lineRule="exact"/>
        <w:sectPr w:rsidR="000E19E4" w:rsidSect="00591009">
          <w:pgSz w:w="11910" w:h="16840"/>
          <w:pgMar w:top="1660" w:right="320" w:bottom="940" w:left="600" w:header="283" w:footer="752" w:gutter="0"/>
          <w:cols w:space="720"/>
        </w:sectPr>
      </w:pPr>
    </w:p>
    <w:p w14:paraId="4D4899AC" w14:textId="77777777" w:rsidR="000E19E4" w:rsidRDefault="00000000">
      <w:pPr>
        <w:pStyle w:val="ListParagraph"/>
        <w:numPr>
          <w:ilvl w:val="1"/>
          <w:numId w:val="4"/>
        </w:numPr>
        <w:tabs>
          <w:tab w:val="left" w:pos="840"/>
          <w:tab w:val="left" w:pos="841"/>
        </w:tabs>
        <w:spacing w:before="172" w:line="305" w:lineRule="exact"/>
      </w:pPr>
      <w:r>
        <w:rPr>
          <w:b/>
        </w:rPr>
        <w:lastRenderedPageBreak/>
        <w:t xml:space="preserve">Dr Neil Bowering, </w:t>
      </w:r>
      <w:r>
        <w:t>Deputy Head of College, College of Medical, Veterinary and Life</w:t>
      </w:r>
      <w:r>
        <w:rPr>
          <w:spacing w:val="-12"/>
        </w:rPr>
        <w:t xml:space="preserve"> </w:t>
      </w:r>
      <w:r>
        <w:t>Sciences</w:t>
      </w:r>
    </w:p>
    <w:p w14:paraId="753C39C7" w14:textId="77777777" w:rsidR="000E19E4" w:rsidRDefault="00000000">
      <w:pPr>
        <w:pStyle w:val="ListParagraph"/>
        <w:numPr>
          <w:ilvl w:val="1"/>
          <w:numId w:val="4"/>
        </w:numPr>
        <w:tabs>
          <w:tab w:val="left" w:pos="840"/>
          <w:tab w:val="left" w:pos="841"/>
        </w:tabs>
        <w:spacing w:line="300" w:lineRule="exact"/>
      </w:pPr>
      <w:r>
        <w:rPr>
          <w:b/>
        </w:rPr>
        <w:t xml:space="preserve">Prof Dauvit Broun, </w:t>
      </w:r>
      <w:r>
        <w:t>Professor of Scottish History, College of</w:t>
      </w:r>
      <w:r>
        <w:rPr>
          <w:spacing w:val="1"/>
        </w:rPr>
        <w:t xml:space="preserve"> </w:t>
      </w:r>
      <w:r>
        <w:t>Arts</w:t>
      </w:r>
    </w:p>
    <w:p w14:paraId="22818B2B" w14:textId="77777777" w:rsidR="000E19E4" w:rsidRDefault="00000000">
      <w:pPr>
        <w:pStyle w:val="ListParagraph"/>
        <w:numPr>
          <w:ilvl w:val="1"/>
          <w:numId w:val="4"/>
        </w:numPr>
        <w:tabs>
          <w:tab w:val="left" w:pos="840"/>
          <w:tab w:val="left" w:pos="841"/>
        </w:tabs>
        <w:spacing w:line="300" w:lineRule="exact"/>
      </w:pPr>
      <w:r>
        <w:rPr>
          <w:b/>
        </w:rPr>
        <w:t>Nicola Cameron</w:t>
      </w:r>
      <w:r>
        <w:t>, Director of Property Joint</w:t>
      </w:r>
      <w:r>
        <w:rPr>
          <w:spacing w:val="6"/>
        </w:rPr>
        <w:t xml:space="preserve"> </w:t>
      </w:r>
      <w:r>
        <w:t>Ventures</w:t>
      </w:r>
    </w:p>
    <w:p w14:paraId="5EC4BE78" w14:textId="77777777" w:rsidR="000E19E4" w:rsidRDefault="00000000">
      <w:pPr>
        <w:pStyle w:val="ListParagraph"/>
        <w:numPr>
          <w:ilvl w:val="1"/>
          <w:numId w:val="4"/>
        </w:numPr>
        <w:tabs>
          <w:tab w:val="left" w:pos="840"/>
          <w:tab w:val="left" w:pos="841"/>
        </w:tabs>
        <w:spacing w:line="300" w:lineRule="exact"/>
      </w:pPr>
      <w:r>
        <w:rPr>
          <w:b/>
        </w:rPr>
        <w:t>Prof Dominic Chalmers</w:t>
      </w:r>
      <w:r>
        <w:t>, Professor of Entrepreneurship and Innovation, Adam Smith Business</w:t>
      </w:r>
      <w:r>
        <w:rPr>
          <w:spacing w:val="-22"/>
        </w:rPr>
        <w:t xml:space="preserve"> </w:t>
      </w:r>
      <w:r>
        <w:t>School</w:t>
      </w:r>
    </w:p>
    <w:p w14:paraId="3CCBF73B" w14:textId="77777777" w:rsidR="000E19E4" w:rsidRDefault="00000000">
      <w:pPr>
        <w:pStyle w:val="ListParagraph"/>
        <w:numPr>
          <w:ilvl w:val="1"/>
          <w:numId w:val="4"/>
        </w:numPr>
        <w:tabs>
          <w:tab w:val="left" w:pos="840"/>
          <w:tab w:val="left" w:pos="841"/>
        </w:tabs>
        <w:spacing w:line="300" w:lineRule="exact"/>
      </w:pPr>
      <w:r>
        <w:rPr>
          <w:b/>
        </w:rPr>
        <w:t>Jeane Freeman</w:t>
      </w:r>
      <w:r>
        <w:t>, Dean of Strategic Community Engagement &amp; Economic</w:t>
      </w:r>
      <w:r>
        <w:rPr>
          <w:spacing w:val="-10"/>
        </w:rPr>
        <w:t xml:space="preserve"> </w:t>
      </w:r>
      <w:r>
        <w:t>Development</w:t>
      </w:r>
    </w:p>
    <w:p w14:paraId="77D87303" w14:textId="77777777" w:rsidR="000E19E4" w:rsidRDefault="00000000">
      <w:pPr>
        <w:pStyle w:val="ListParagraph"/>
        <w:numPr>
          <w:ilvl w:val="1"/>
          <w:numId w:val="4"/>
        </w:numPr>
        <w:tabs>
          <w:tab w:val="left" w:pos="840"/>
          <w:tab w:val="left" w:pos="841"/>
        </w:tabs>
        <w:spacing w:line="300" w:lineRule="exact"/>
      </w:pPr>
      <w:r>
        <w:rPr>
          <w:b/>
        </w:rPr>
        <w:t>Linda Hanna</w:t>
      </w:r>
      <w:r>
        <w:t>, Strategic Adviser, Economic Development &amp;</w:t>
      </w:r>
      <w:r>
        <w:rPr>
          <w:spacing w:val="-7"/>
        </w:rPr>
        <w:t xml:space="preserve"> </w:t>
      </w:r>
      <w:r>
        <w:t>Innovation</w:t>
      </w:r>
    </w:p>
    <w:p w14:paraId="45C13F76" w14:textId="77777777" w:rsidR="000E19E4" w:rsidRDefault="00000000">
      <w:pPr>
        <w:pStyle w:val="ListParagraph"/>
        <w:numPr>
          <w:ilvl w:val="1"/>
          <w:numId w:val="4"/>
        </w:numPr>
        <w:tabs>
          <w:tab w:val="left" w:pos="840"/>
          <w:tab w:val="left" w:pos="841"/>
        </w:tabs>
        <w:spacing w:line="300" w:lineRule="exact"/>
      </w:pPr>
      <w:r>
        <w:rPr>
          <w:b/>
        </w:rPr>
        <w:t>Liam Middleton</w:t>
      </w:r>
      <w:r>
        <w:t>, Deputy Director of Economic Development</w:t>
      </w:r>
    </w:p>
    <w:p w14:paraId="21AC77FF" w14:textId="77777777" w:rsidR="000E19E4" w:rsidRDefault="00000000">
      <w:pPr>
        <w:pStyle w:val="ListParagraph"/>
        <w:numPr>
          <w:ilvl w:val="1"/>
          <w:numId w:val="4"/>
        </w:numPr>
        <w:tabs>
          <w:tab w:val="left" w:pos="840"/>
          <w:tab w:val="left" w:pos="841"/>
        </w:tabs>
        <w:spacing w:line="266" w:lineRule="auto"/>
        <w:ind w:right="626"/>
      </w:pPr>
      <w:r>
        <w:rPr>
          <w:b/>
        </w:rPr>
        <w:t xml:space="preserve">Prof Jaime Toney, </w:t>
      </w:r>
      <w:r>
        <w:t>Professor in Environmental and Climate Science, School of Geographical and Earth Sciences</w:t>
      </w:r>
    </w:p>
    <w:p w14:paraId="70843B37" w14:textId="77777777" w:rsidR="000E19E4" w:rsidRDefault="00000000">
      <w:pPr>
        <w:pStyle w:val="ListParagraph"/>
        <w:numPr>
          <w:ilvl w:val="1"/>
          <w:numId w:val="4"/>
        </w:numPr>
        <w:tabs>
          <w:tab w:val="left" w:pos="840"/>
          <w:tab w:val="left" w:pos="841"/>
        </w:tabs>
        <w:spacing w:line="285" w:lineRule="exact"/>
      </w:pPr>
      <w:r>
        <w:rPr>
          <w:b/>
        </w:rPr>
        <w:t>Richard Warburton</w:t>
      </w:r>
      <w:r>
        <w:t>, Head of</w:t>
      </w:r>
      <w:r>
        <w:rPr>
          <w:spacing w:val="-4"/>
        </w:rPr>
        <w:t xml:space="preserve"> </w:t>
      </w:r>
      <w:r>
        <w:t>Communications</w:t>
      </w:r>
    </w:p>
    <w:p w14:paraId="1BE0950F" w14:textId="77777777" w:rsidR="000E19E4" w:rsidRDefault="00000000">
      <w:pPr>
        <w:spacing w:before="149"/>
        <w:ind w:left="120"/>
        <w:rPr>
          <w:i/>
        </w:rPr>
      </w:pPr>
      <w:r>
        <w:rPr>
          <w:i/>
        </w:rPr>
        <w:t>External</w:t>
      </w:r>
    </w:p>
    <w:p w14:paraId="11C31F78" w14:textId="77777777" w:rsidR="000E19E4" w:rsidRDefault="00000000">
      <w:pPr>
        <w:pStyle w:val="ListParagraph"/>
        <w:numPr>
          <w:ilvl w:val="1"/>
          <w:numId w:val="4"/>
        </w:numPr>
        <w:tabs>
          <w:tab w:val="left" w:pos="840"/>
          <w:tab w:val="left" w:pos="841"/>
        </w:tabs>
        <w:spacing w:before="123" w:line="305" w:lineRule="exact"/>
      </w:pPr>
      <w:r>
        <w:rPr>
          <w:b/>
        </w:rPr>
        <w:t>Duncan McDougall</w:t>
      </w:r>
      <w:r>
        <w:t>, Assistant Principal, Glasgow Clyde</w:t>
      </w:r>
      <w:r>
        <w:rPr>
          <w:spacing w:val="-5"/>
        </w:rPr>
        <w:t xml:space="preserve"> </w:t>
      </w:r>
      <w:r>
        <w:t>College</w:t>
      </w:r>
    </w:p>
    <w:p w14:paraId="059AE8DB" w14:textId="77777777" w:rsidR="000E19E4" w:rsidRDefault="00000000">
      <w:pPr>
        <w:pStyle w:val="ListParagraph"/>
        <w:numPr>
          <w:ilvl w:val="1"/>
          <w:numId w:val="4"/>
        </w:numPr>
        <w:tabs>
          <w:tab w:val="left" w:pos="840"/>
          <w:tab w:val="left" w:pos="841"/>
        </w:tabs>
        <w:spacing w:line="300" w:lineRule="exact"/>
      </w:pPr>
      <w:r>
        <w:rPr>
          <w:b/>
        </w:rPr>
        <w:t>Irene McFarlane</w:t>
      </w:r>
      <w:r>
        <w:t>, Chief Executive Officer, Linthouse Housing</w:t>
      </w:r>
      <w:r>
        <w:rPr>
          <w:spacing w:val="-5"/>
        </w:rPr>
        <w:t xml:space="preserve"> </w:t>
      </w:r>
      <w:r>
        <w:t>Association</w:t>
      </w:r>
    </w:p>
    <w:p w14:paraId="22E3DE1F" w14:textId="77777777" w:rsidR="000E19E4" w:rsidRDefault="00000000">
      <w:pPr>
        <w:pStyle w:val="ListParagraph"/>
        <w:numPr>
          <w:ilvl w:val="1"/>
          <w:numId w:val="4"/>
        </w:numPr>
        <w:tabs>
          <w:tab w:val="left" w:pos="840"/>
          <w:tab w:val="left" w:pos="841"/>
        </w:tabs>
        <w:spacing w:line="305" w:lineRule="exact"/>
        <w:rPr>
          <w:b/>
        </w:rPr>
      </w:pPr>
      <w:r>
        <w:rPr>
          <w:b/>
        </w:rPr>
        <w:t xml:space="preserve">Jane Martin, </w:t>
      </w:r>
      <w:r>
        <w:t xml:space="preserve">Managing Director of Innovation and Investment, Scottish Enterprise or </w:t>
      </w:r>
      <w:r>
        <w:rPr>
          <w:b/>
        </w:rPr>
        <w:t>Gillian</w:t>
      </w:r>
      <w:r>
        <w:rPr>
          <w:b/>
          <w:spacing w:val="-23"/>
        </w:rPr>
        <w:t xml:space="preserve"> </w:t>
      </w:r>
      <w:r>
        <w:rPr>
          <w:b/>
        </w:rPr>
        <w:t>Adam,</w:t>
      </w:r>
    </w:p>
    <w:p w14:paraId="1ACD0675" w14:textId="77777777" w:rsidR="000E19E4" w:rsidRDefault="00000000">
      <w:pPr>
        <w:pStyle w:val="BodyText"/>
        <w:spacing w:before="34"/>
        <w:ind w:firstLine="0"/>
      </w:pPr>
      <w:r>
        <w:t>Head of Place and Partnerships, Scottish Enterprise</w:t>
      </w:r>
    </w:p>
    <w:p w14:paraId="467D7D03" w14:textId="77777777" w:rsidR="000E19E4" w:rsidRDefault="00000000">
      <w:pPr>
        <w:pStyle w:val="ListParagraph"/>
        <w:numPr>
          <w:ilvl w:val="1"/>
          <w:numId w:val="4"/>
        </w:numPr>
        <w:tabs>
          <w:tab w:val="left" w:pos="840"/>
          <w:tab w:val="left" w:pos="841"/>
        </w:tabs>
        <w:spacing w:before="2" w:line="305" w:lineRule="exact"/>
      </w:pPr>
      <w:r>
        <w:rPr>
          <w:b/>
        </w:rPr>
        <w:t>Robert Martin</w:t>
      </w:r>
      <w:r>
        <w:t>, Manager for Scotland,</w:t>
      </w:r>
      <w:r>
        <w:rPr>
          <w:spacing w:val="-4"/>
        </w:rPr>
        <w:t xml:space="preserve"> </w:t>
      </w:r>
      <w:r>
        <w:t>InnovateUK</w:t>
      </w:r>
    </w:p>
    <w:p w14:paraId="5731B301" w14:textId="77777777" w:rsidR="000E19E4" w:rsidRDefault="00000000">
      <w:pPr>
        <w:pStyle w:val="ListParagraph"/>
        <w:numPr>
          <w:ilvl w:val="1"/>
          <w:numId w:val="4"/>
        </w:numPr>
        <w:tabs>
          <w:tab w:val="left" w:pos="840"/>
          <w:tab w:val="left" w:pos="841"/>
        </w:tabs>
        <w:spacing w:line="300" w:lineRule="exact"/>
      </w:pPr>
      <w:r>
        <w:rPr>
          <w:b/>
        </w:rPr>
        <w:t>Stuart Patrick</w:t>
      </w:r>
      <w:r>
        <w:t>, Chief Executive, Glasgow Chamber of</w:t>
      </w:r>
      <w:r>
        <w:rPr>
          <w:spacing w:val="1"/>
        </w:rPr>
        <w:t xml:space="preserve"> </w:t>
      </w:r>
      <w:r>
        <w:t>Commerce</w:t>
      </w:r>
    </w:p>
    <w:p w14:paraId="28AD222E" w14:textId="77777777" w:rsidR="000E19E4" w:rsidRDefault="00000000">
      <w:pPr>
        <w:pStyle w:val="ListParagraph"/>
        <w:numPr>
          <w:ilvl w:val="1"/>
          <w:numId w:val="4"/>
        </w:numPr>
        <w:tabs>
          <w:tab w:val="left" w:pos="840"/>
          <w:tab w:val="left" w:pos="841"/>
        </w:tabs>
        <w:spacing w:line="266" w:lineRule="auto"/>
        <w:ind w:right="1006"/>
      </w:pPr>
      <w:r>
        <w:rPr>
          <w:b/>
        </w:rPr>
        <w:t>Kevin Rush</w:t>
      </w:r>
      <w:r>
        <w:t xml:space="preserve">, Director of Regional Economic Growth, Glasgow City Region or </w:t>
      </w:r>
      <w:r>
        <w:rPr>
          <w:b/>
        </w:rPr>
        <w:t>Graham Smith</w:t>
      </w:r>
      <w:r>
        <w:t>, Economic Development Manager, Glasgow City</w:t>
      </w:r>
      <w:r>
        <w:rPr>
          <w:spacing w:val="-7"/>
        </w:rPr>
        <w:t xml:space="preserve"> </w:t>
      </w:r>
      <w:r>
        <w:t>Council</w:t>
      </w:r>
    </w:p>
    <w:p w14:paraId="1504F902" w14:textId="77777777" w:rsidR="000E19E4" w:rsidRDefault="00000000">
      <w:pPr>
        <w:spacing w:before="134"/>
        <w:ind w:left="120"/>
        <w:rPr>
          <w:i/>
        </w:rPr>
      </w:pPr>
      <w:r>
        <w:rPr>
          <w:i/>
        </w:rPr>
        <w:t>Observer</w:t>
      </w:r>
    </w:p>
    <w:p w14:paraId="7AD18156" w14:textId="77777777" w:rsidR="000E19E4" w:rsidRDefault="00000000">
      <w:pPr>
        <w:pStyle w:val="ListParagraph"/>
        <w:numPr>
          <w:ilvl w:val="1"/>
          <w:numId w:val="4"/>
        </w:numPr>
        <w:tabs>
          <w:tab w:val="left" w:pos="840"/>
          <w:tab w:val="left" w:pos="841"/>
        </w:tabs>
        <w:spacing w:before="122"/>
      </w:pPr>
      <w:r>
        <w:rPr>
          <w:b/>
        </w:rPr>
        <w:t>Andrew Docherty</w:t>
      </w:r>
      <w:r>
        <w:t>, Area Lead for the Glasgow City Region (DLUHC), UK</w:t>
      </w:r>
      <w:r>
        <w:rPr>
          <w:spacing w:val="-15"/>
        </w:rPr>
        <w:t xml:space="preserve"> </w:t>
      </w:r>
      <w:r>
        <w:t>Government</w:t>
      </w:r>
    </w:p>
    <w:p w14:paraId="525BC89C" w14:textId="77777777" w:rsidR="000E19E4" w:rsidRDefault="00000000">
      <w:pPr>
        <w:pStyle w:val="Heading2"/>
        <w:spacing w:before="154"/>
      </w:pPr>
      <w:r>
        <w:t>Attending as Required</w:t>
      </w:r>
    </w:p>
    <w:p w14:paraId="262BF8FE" w14:textId="77777777" w:rsidR="000E19E4" w:rsidRDefault="00000000">
      <w:pPr>
        <w:pStyle w:val="BodyText"/>
        <w:spacing w:before="168" w:line="285" w:lineRule="auto"/>
        <w:ind w:left="120" w:right="1018" w:firstLine="0"/>
      </w:pPr>
      <w:r>
        <w:t>Attendees from University directorates and other external parties not listed above may attend specific meetings to discuss specific progress and risk as and when required.</w:t>
      </w:r>
    </w:p>
    <w:p w14:paraId="7FFBE676" w14:textId="77777777" w:rsidR="000E19E4" w:rsidRDefault="00000000">
      <w:pPr>
        <w:pStyle w:val="BodyText"/>
        <w:spacing w:before="118" w:line="285" w:lineRule="auto"/>
        <w:ind w:left="120" w:right="113" w:firstLine="0"/>
      </w:pPr>
      <w:r>
        <w:t>Membership of UEDB will be reviewed periodically after initiation to ensure that partner organisations critical to the realisation of our economic, innovation and civic ambitions are given due representation. For example, as specific projects develop within GRID Discovery in particular, it may be useful to have permanent representation from the local health board.</w:t>
      </w:r>
    </w:p>
    <w:p w14:paraId="7DC533ED" w14:textId="77777777" w:rsidR="000E19E4" w:rsidRDefault="00000000">
      <w:pPr>
        <w:pStyle w:val="Heading1"/>
        <w:numPr>
          <w:ilvl w:val="0"/>
          <w:numId w:val="4"/>
        </w:numPr>
        <w:tabs>
          <w:tab w:val="left" w:pos="478"/>
        </w:tabs>
        <w:spacing w:before="212"/>
      </w:pPr>
      <w:r>
        <w:t>Substitutions and</w:t>
      </w:r>
      <w:r>
        <w:rPr>
          <w:spacing w:val="-1"/>
        </w:rPr>
        <w:t xml:space="preserve"> </w:t>
      </w:r>
      <w:r>
        <w:t>Quorum</w:t>
      </w:r>
    </w:p>
    <w:p w14:paraId="1165FD11" w14:textId="77777777" w:rsidR="000E19E4" w:rsidRDefault="00000000">
      <w:pPr>
        <w:pStyle w:val="BodyText"/>
        <w:spacing w:before="168" w:line="285" w:lineRule="auto"/>
        <w:ind w:left="120" w:right="236" w:firstLine="0"/>
      </w:pPr>
      <w:r>
        <w:t>Substitutions may be made with prior notice given to the clerk, subject to approval by the Chair. There must be a minimum of 50% of its members in attendance for decisions or approvals.</w:t>
      </w:r>
    </w:p>
    <w:p w14:paraId="10AA334B" w14:textId="77777777" w:rsidR="000E19E4" w:rsidRDefault="00000000">
      <w:pPr>
        <w:pStyle w:val="Heading1"/>
        <w:numPr>
          <w:ilvl w:val="0"/>
          <w:numId w:val="4"/>
        </w:numPr>
        <w:tabs>
          <w:tab w:val="left" w:pos="478"/>
        </w:tabs>
        <w:spacing w:before="214"/>
      </w:pPr>
      <w:r>
        <w:t>Board Member</w:t>
      </w:r>
      <w:r>
        <w:rPr>
          <w:spacing w:val="1"/>
        </w:rPr>
        <w:t xml:space="preserve"> </w:t>
      </w:r>
      <w:r>
        <w:t>Responsibilities</w:t>
      </w:r>
    </w:p>
    <w:p w14:paraId="6C7E8DF9" w14:textId="77777777" w:rsidR="000E19E4" w:rsidRDefault="00000000">
      <w:pPr>
        <w:pStyle w:val="BodyText"/>
        <w:spacing w:before="168" w:line="285" w:lineRule="auto"/>
        <w:ind w:left="120" w:right="149" w:firstLine="0"/>
      </w:pPr>
      <w:r>
        <w:t>The Board has final accountability for the review and approval of the annual and 3-year delivery plans. Each Board member has a responsibility to:</w:t>
      </w:r>
    </w:p>
    <w:p w14:paraId="4E197F78" w14:textId="77777777" w:rsidR="000E19E4" w:rsidRDefault="00000000">
      <w:pPr>
        <w:pStyle w:val="ListParagraph"/>
        <w:numPr>
          <w:ilvl w:val="0"/>
          <w:numId w:val="2"/>
        </w:numPr>
        <w:tabs>
          <w:tab w:val="left" w:pos="840"/>
          <w:tab w:val="left" w:pos="841"/>
        </w:tabs>
        <w:spacing w:before="103" w:line="280" w:lineRule="auto"/>
        <w:ind w:right="970"/>
      </w:pPr>
      <w:r>
        <w:t>Scrutinise and constructively challenge all strategic documents, policies, and papers, including business cases, plans and roadmaps, brought forward to UEDB for</w:t>
      </w:r>
      <w:r>
        <w:rPr>
          <w:spacing w:val="-7"/>
        </w:rPr>
        <w:t xml:space="preserve"> </w:t>
      </w:r>
      <w:r>
        <w:t>review.</w:t>
      </w:r>
    </w:p>
    <w:p w14:paraId="433BFBBB" w14:textId="77777777" w:rsidR="000E19E4" w:rsidRDefault="00000000">
      <w:pPr>
        <w:pStyle w:val="ListParagraph"/>
        <w:numPr>
          <w:ilvl w:val="0"/>
          <w:numId w:val="2"/>
        </w:numPr>
        <w:tabs>
          <w:tab w:val="left" w:pos="840"/>
          <w:tab w:val="left" w:pos="841"/>
        </w:tabs>
        <w:spacing w:before="109" w:line="280" w:lineRule="auto"/>
        <w:ind w:right="629"/>
      </w:pPr>
      <w:r>
        <w:t>Ensure partners are consulted on developments relating to major infrastructure projects led by the University, such as the Living Lab and Campus Innovation Zone, and able to input as</w:t>
      </w:r>
      <w:r>
        <w:rPr>
          <w:spacing w:val="-16"/>
        </w:rPr>
        <w:t xml:space="preserve"> </w:t>
      </w:r>
      <w:r>
        <w:t>required.</w:t>
      </w:r>
    </w:p>
    <w:p w14:paraId="6F35064E" w14:textId="77777777" w:rsidR="000E19E4" w:rsidRDefault="000E19E4">
      <w:pPr>
        <w:spacing w:line="280" w:lineRule="auto"/>
        <w:sectPr w:rsidR="000E19E4" w:rsidSect="00591009">
          <w:pgSz w:w="11910" w:h="16840"/>
          <w:pgMar w:top="1660" w:right="320" w:bottom="940" w:left="600" w:header="283" w:footer="752" w:gutter="0"/>
          <w:cols w:space="720"/>
        </w:sectPr>
      </w:pPr>
    </w:p>
    <w:p w14:paraId="603FC237" w14:textId="77777777" w:rsidR="000E19E4" w:rsidRDefault="000E19E4">
      <w:pPr>
        <w:pStyle w:val="BodyText"/>
        <w:spacing w:before="10"/>
        <w:ind w:left="0" w:firstLine="0"/>
        <w:rPr>
          <w:sz w:val="8"/>
        </w:rPr>
      </w:pPr>
    </w:p>
    <w:p w14:paraId="090A96C5" w14:textId="77777777" w:rsidR="000E19E4" w:rsidRDefault="00000000">
      <w:pPr>
        <w:pStyle w:val="ListParagraph"/>
        <w:numPr>
          <w:ilvl w:val="0"/>
          <w:numId w:val="2"/>
        </w:numPr>
        <w:tabs>
          <w:tab w:val="left" w:pos="840"/>
          <w:tab w:val="left" w:pos="841"/>
        </w:tabs>
        <w:spacing w:before="101" w:line="283" w:lineRule="auto"/>
        <w:ind w:right="409"/>
      </w:pPr>
      <w:r>
        <w:t>Approve plans for the delivery of key economic development, innovation and civic programmes and projects, providing challenge on the level of ambition, achievability and means of delivery, as well as time, cost and quality</w:t>
      </w:r>
      <w:r>
        <w:rPr>
          <w:spacing w:val="-4"/>
        </w:rPr>
        <w:t xml:space="preserve"> </w:t>
      </w:r>
      <w:r>
        <w:t>constraints.</w:t>
      </w:r>
    </w:p>
    <w:p w14:paraId="7646AE6C" w14:textId="77777777" w:rsidR="000E19E4" w:rsidRDefault="00000000">
      <w:pPr>
        <w:pStyle w:val="ListParagraph"/>
        <w:numPr>
          <w:ilvl w:val="0"/>
          <w:numId w:val="2"/>
        </w:numPr>
        <w:tabs>
          <w:tab w:val="left" w:pos="841"/>
        </w:tabs>
        <w:spacing w:before="105" w:line="283" w:lineRule="auto"/>
        <w:ind w:right="337"/>
        <w:jc w:val="both"/>
      </w:pPr>
      <w:r>
        <w:t>Advise and support the University to actively engage with and include local communities in economic development, innovation and civic programmes and projects, and ensure that they benefit from these activities.</w:t>
      </w:r>
    </w:p>
    <w:p w14:paraId="109E618B" w14:textId="77777777" w:rsidR="000E19E4" w:rsidRDefault="00000000">
      <w:pPr>
        <w:pStyle w:val="ListParagraph"/>
        <w:numPr>
          <w:ilvl w:val="0"/>
          <w:numId w:val="2"/>
        </w:numPr>
        <w:tabs>
          <w:tab w:val="left" w:pos="840"/>
          <w:tab w:val="left" w:pos="841"/>
        </w:tabs>
        <w:spacing w:before="105" w:line="283" w:lineRule="auto"/>
        <w:ind w:right="350"/>
      </w:pPr>
      <w:r>
        <w:t>Communicate and champion, internally and externally, the outcomes and potential of the University’s economic development, innovation and civic programmes and projects, ensuring that activities are profiled effectively through the communications channels of the University and its</w:t>
      </w:r>
      <w:r>
        <w:rPr>
          <w:spacing w:val="-16"/>
        </w:rPr>
        <w:t xml:space="preserve"> </w:t>
      </w:r>
      <w:r>
        <w:t>partners.</w:t>
      </w:r>
    </w:p>
    <w:p w14:paraId="2710D229" w14:textId="77777777" w:rsidR="000E19E4" w:rsidRDefault="00000000">
      <w:pPr>
        <w:pStyle w:val="ListParagraph"/>
        <w:numPr>
          <w:ilvl w:val="0"/>
          <w:numId w:val="2"/>
        </w:numPr>
        <w:tabs>
          <w:tab w:val="left" w:pos="840"/>
          <w:tab w:val="left" w:pos="841"/>
        </w:tabs>
        <w:spacing w:before="104" w:line="283" w:lineRule="auto"/>
        <w:ind w:right="690"/>
      </w:pPr>
      <w:r>
        <w:t>Provide expert advice on existing and emergent priorities, challenges and opportunities, including funding and partnerships, within Glasgow, Scotland and the UK, and support the University to understand how it might best contribute to or capitalise upon</w:t>
      </w:r>
      <w:r>
        <w:rPr>
          <w:spacing w:val="-8"/>
        </w:rPr>
        <w:t xml:space="preserve"> </w:t>
      </w:r>
      <w:r>
        <w:t>these.</w:t>
      </w:r>
    </w:p>
    <w:p w14:paraId="4B5B3F5E" w14:textId="77777777" w:rsidR="000E19E4" w:rsidRDefault="00000000">
      <w:pPr>
        <w:pStyle w:val="ListParagraph"/>
        <w:numPr>
          <w:ilvl w:val="0"/>
          <w:numId w:val="2"/>
        </w:numPr>
        <w:tabs>
          <w:tab w:val="left" w:pos="840"/>
          <w:tab w:val="left" w:pos="841"/>
        </w:tabs>
        <w:spacing w:before="106" w:line="283" w:lineRule="auto"/>
        <w:ind w:right="383"/>
      </w:pPr>
      <w:r>
        <w:t>Support the University to develop its economic data analysis capabilities, ensuring that plans are informed by robust evidence and that its work complements that of Glasgow City Region Intelligence Hub and Scottish Government economic analysis</w:t>
      </w:r>
      <w:r>
        <w:rPr>
          <w:spacing w:val="-3"/>
        </w:rPr>
        <w:t xml:space="preserve"> </w:t>
      </w:r>
      <w:r>
        <w:t>units.</w:t>
      </w:r>
    </w:p>
    <w:p w14:paraId="069AD623" w14:textId="77777777" w:rsidR="000E19E4" w:rsidRDefault="00000000">
      <w:pPr>
        <w:pStyle w:val="ListParagraph"/>
        <w:numPr>
          <w:ilvl w:val="0"/>
          <w:numId w:val="2"/>
        </w:numPr>
        <w:tabs>
          <w:tab w:val="left" w:pos="840"/>
          <w:tab w:val="left" w:pos="841"/>
        </w:tabs>
        <w:spacing w:before="105" w:line="280" w:lineRule="auto"/>
        <w:ind w:right="314"/>
      </w:pPr>
      <w:r>
        <w:t>Identify, assess and mitigate risks associated with major economic development, innovation and civic programmes.</w:t>
      </w:r>
    </w:p>
    <w:p w14:paraId="7D15C026" w14:textId="77777777" w:rsidR="000E19E4" w:rsidRDefault="00000000">
      <w:pPr>
        <w:pStyle w:val="ListParagraph"/>
        <w:numPr>
          <w:ilvl w:val="0"/>
          <w:numId w:val="2"/>
        </w:numPr>
        <w:tabs>
          <w:tab w:val="left" w:pos="840"/>
          <w:tab w:val="left" w:pos="841"/>
        </w:tabs>
        <w:spacing w:before="109" w:line="280" w:lineRule="auto"/>
        <w:ind w:right="714"/>
      </w:pPr>
      <w:r>
        <w:t>Take ownership for specific actions and risks escalated to the UEDB from the supporting working groups. All escalated actions and risks must have a board member as overall</w:t>
      </w:r>
      <w:r>
        <w:rPr>
          <w:spacing w:val="-14"/>
        </w:rPr>
        <w:t xml:space="preserve"> </w:t>
      </w:r>
      <w:r>
        <w:t>owner.</w:t>
      </w:r>
    </w:p>
    <w:p w14:paraId="46795DED" w14:textId="77777777" w:rsidR="000E19E4" w:rsidRDefault="00000000">
      <w:pPr>
        <w:pStyle w:val="ListParagraph"/>
        <w:numPr>
          <w:ilvl w:val="0"/>
          <w:numId w:val="2"/>
        </w:numPr>
        <w:tabs>
          <w:tab w:val="left" w:pos="840"/>
          <w:tab w:val="left" w:pos="841"/>
        </w:tabs>
        <w:spacing w:before="108" w:line="280" w:lineRule="auto"/>
        <w:ind w:right="189"/>
      </w:pPr>
      <w:r>
        <w:t>Approve plans for post-project reviews and lessons learned reports and oversee the implementation of recommendations arising from these for future programmes and</w:t>
      </w:r>
      <w:r>
        <w:rPr>
          <w:spacing w:val="-11"/>
        </w:rPr>
        <w:t xml:space="preserve"> </w:t>
      </w:r>
      <w:r>
        <w:t>projects.</w:t>
      </w:r>
    </w:p>
    <w:p w14:paraId="39152B22" w14:textId="77777777" w:rsidR="000E19E4" w:rsidRDefault="00000000">
      <w:pPr>
        <w:pStyle w:val="ListParagraph"/>
        <w:numPr>
          <w:ilvl w:val="0"/>
          <w:numId w:val="2"/>
        </w:numPr>
        <w:tabs>
          <w:tab w:val="left" w:pos="840"/>
          <w:tab w:val="left" w:pos="841"/>
        </w:tabs>
        <w:spacing w:before="109"/>
      </w:pPr>
      <w:r>
        <w:t>Activity and behaviour should embody the University’s values (</w:t>
      </w:r>
      <w:hyperlink r:id="rId9">
        <w:r>
          <w:rPr>
            <w:color w:val="006FC0"/>
            <w:u w:val="single" w:color="006FC0"/>
          </w:rPr>
          <w:t>click here for</w:t>
        </w:r>
        <w:r>
          <w:rPr>
            <w:color w:val="006FC0"/>
            <w:spacing w:val="-37"/>
            <w:u w:val="single" w:color="006FC0"/>
          </w:rPr>
          <w:t xml:space="preserve"> </w:t>
        </w:r>
        <w:r>
          <w:rPr>
            <w:color w:val="006FC0"/>
            <w:u w:val="single" w:color="006FC0"/>
          </w:rPr>
          <w:t>details</w:t>
        </w:r>
      </w:hyperlink>
      <w:r>
        <w:t>)</w:t>
      </w:r>
    </w:p>
    <w:p w14:paraId="7C248F9D" w14:textId="77777777" w:rsidR="000E19E4" w:rsidRDefault="000E19E4">
      <w:pPr>
        <w:pStyle w:val="BodyText"/>
        <w:spacing w:before="9"/>
        <w:ind w:left="0" w:firstLine="0"/>
        <w:rPr>
          <w:sz w:val="14"/>
        </w:rPr>
      </w:pPr>
    </w:p>
    <w:p w14:paraId="21A67931" w14:textId="77777777" w:rsidR="000E19E4" w:rsidRDefault="00000000">
      <w:pPr>
        <w:pStyle w:val="Heading1"/>
        <w:numPr>
          <w:ilvl w:val="0"/>
          <w:numId w:val="4"/>
        </w:numPr>
        <w:tabs>
          <w:tab w:val="left" w:pos="478"/>
        </w:tabs>
      </w:pPr>
      <w:r>
        <w:t>Conflict of</w:t>
      </w:r>
      <w:r>
        <w:rPr>
          <w:spacing w:val="-3"/>
        </w:rPr>
        <w:t xml:space="preserve"> </w:t>
      </w:r>
      <w:r>
        <w:t>Interest</w:t>
      </w:r>
    </w:p>
    <w:p w14:paraId="0A8409B9" w14:textId="77777777" w:rsidR="000E19E4" w:rsidRDefault="00000000">
      <w:pPr>
        <w:pStyle w:val="BodyText"/>
        <w:spacing w:before="168" w:line="285" w:lineRule="auto"/>
        <w:ind w:left="120" w:right="137" w:firstLine="0"/>
      </w:pPr>
      <w:r>
        <w:t>Strategy Board members shall notify any declaration of conflict as a standard agenda item at the start of the meeting including the maintenance of a register of conflicts, and a process for managing all conflicts which are declared.</w:t>
      </w:r>
    </w:p>
    <w:p w14:paraId="0675A52C" w14:textId="77777777" w:rsidR="000E19E4" w:rsidRDefault="00000000">
      <w:pPr>
        <w:pStyle w:val="Heading1"/>
        <w:numPr>
          <w:ilvl w:val="0"/>
          <w:numId w:val="4"/>
        </w:numPr>
        <w:tabs>
          <w:tab w:val="left" w:pos="478"/>
        </w:tabs>
        <w:spacing w:before="213"/>
      </w:pPr>
      <w:r>
        <w:t>Format and</w:t>
      </w:r>
      <w:r>
        <w:rPr>
          <w:spacing w:val="-1"/>
        </w:rPr>
        <w:t xml:space="preserve"> </w:t>
      </w:r>
      <w:r>
        <w:t>cadence</w:t>
      </w:r>
    </w:p>
    <w:p w14:paraId="6A4E4DD7" w14:textId="77777777" w:rsidR="000E19E4" w:rsidRDefault="00000000">
      <w:pPr>
        <w:pStyle w:val="BodyText"/>
        <w:spacing w:before="168" w:line="285" w:lineRule="auto"/>
        <w:ind w:left="120" w:right="248" w:firstLine="0"/>
      </w:pPr>
      <w:r>
        <w:t>The meeting schedule will comprise of three meetings per year. Papers will be circulated seven working days in advance and will include updates from the working group leads (or appropriate substitute) as a standing item. The Board will also take updates, as appropriate, from wider University activity (e.g. Strategic Projects Forum, Government Relations) and from partner organisations. Terms of reference will be reviewed by the board every twelve months, with final approval for amendments being granted by the Senior Management Group of the University.</w:t>
      </w:r>
    </w:p>
    <w:p w14:paraId="590D2E89" w14:textId="77777777" w:rsidR="000E19E4" w:rsidRDefault="00000000">
      <w:pPr>
        <w:pStyle w:val="Heading2"/>
        <w:spacing w:before="114"/>
      </w:pPr>
      <w:r>
        <w:t>INPUTS</w:t>
      </w:r>
    </w:p>
    <w:p w14:paraId="69BF1A27" w14:textId="77777777" w:rsidR="000E19E4" w:rsidRDefault="00000000">
      <w:pPr>
        <w:pStyle w:val="ListParagraph"/>
        <w:numPr>
          <w:ilvl w:val="0"/>
          <w:numId w:val="1"/>
        </w:numPr>
        <w:tabs>
          <w:tab w:val="left" w:pos="841"/>
        </w:tabs>
        <w:spacing w:before="167"/>
      </w:pPr>
      <w:r>
        <w:t>UofG strategy and</w:t>
      </w:r>
      <w:r>
        <w:rPr>
          <w:spacing w:val="-4"/>
        </w:rPr>
        <w:t xml:space="preserve"> </w:t>
      </w:r>
      <w:r>
        <w:t>plan</w:t>
      </w:r>
    </w:p>
    <w:p w14:paraId="635B48F2" w14:textId="77777777" w:rsidR="000E19E4" w:rsidRDefault="00000000">
      <w:pPr>
        <w:pStyle w:val="ListParagraph"/>
        <w:numPr>
          <w:ilvl w:val="0"/>
          <w:numId w:val="1"/>
        </w:numPr>
        <w:tabs>
          <w:tab w:val="left" w:pos="841"/>
        </w:tabs>
        <w:spacing w:before="167"/>
      </w:pPr>
      <w:r>
        <w:t>Innovation</w:t>
      </w:r>
      <w:r>
        <w:rPr>
          <w:spacing w:val="-1"/>
        </w:rPr>
        <w:t xml:space="preserve"> </w:t>
      </w:r>
      <w:r>
        <w:t>Strategy</w:t>
      </w:r>
    </w:p>
    <w:p w14:paraId="400A52A4" w14:textId="77777777" w:rsidR="000E19E4" w:rsidRDefault="00000000">
      <w:pPr>
        <w:pStyle w:val="ListParagraph"/>
        <w:numPr>
          <w:ilvl w:val="0"/>
          <w:numId w:val="1"/>
        </w:numPr>
        <w:tabs>
          <w:tab w:val="left" w:pos="841"/>
        </w:tabs>
        <w:spacing w:before="167"/>
      </w:pPr>
      <w:r>
        <w:t>Economic development, innovation and civic related</w:t>
      </w:r>
      <w:r>
        <w:rPr>
          <w:spacing w:val="-4"/>
        </w:rPr>
        <w:t xml:space="preserve"> </w:t>
      </w:r>
      <w:r>
        <w:t>policies</w:t>
      </w:r>
    </w:p>
    <w:p w14:paraId="6711388A" w14:textId="77777777" w:rsidR="000E19E4" w:rsidRDefault="00000000">
      <w:pPr>
        <w:pStyle w:val="ListParagraph"/>
        <w:numPr>
          <w:ilvl w:val="0"/>
          <w:numId w:val="1"/>
        </w:numPr>
        <w:tabs>
          <w:tab w:val="left" w:pos="841"/>
        </w:tabs>
        <w:spacing w:before="167"/>
      </w:pPr>
      <w:r>
        <w:t>Business Cases to be</w:t>
      </w:r>
      <w:r>
        <w:rPr>
          <w:spacing w:val="-3"/>
        </w:rPr>
        <w:t xml:space="preserve"> </w:t>
      </w:r>
      <w:r>
        <w:t>presented</w:t>
      </w:r>
    </w:p>
    <w:p w14:paraId="1AB2F39B" w14:textId="77777777" w:rsidR="000E19E4" w:rsidRDefault="000E19E4">
      <w:pPr>
        <w:sectPr w:rsidR="000E19E4" w:rsidSect="00591009">
          <w:pgSz w:w="11910" w:h="16840"/>
          <w:pgMar w:top="1660" w:right="320" w:bottom="940" w:left="600" w:header="283" w:footer="752" w:gutter="0"/>
          <w:cols w:space="720"/>
        </w:sectPr>
      </w:pPr>
    </w:p>
    <w:p w14:paraId="5E38433E" w14:textId="77777777" w:rsidR="000E19E4" w:rsidRDefault="000E19E4">
      <w:pPr>
        <w:pStyle w:val="BodyText"/>
        <w:spacing w:before="9"/>
        <w:ind w:left="0" w:firstLine="0"/>
        <w:rPr>
          <w:sz w:val="10"/>
        </w:rPr>
      </w:pPr>
    </w:p>
    <w:p w14:paraId="2F789BBC" w14:textId="77777777" w:rsidR="000E19E4" w:rsidRDefault="00000000">
      <w:pPr>
        <w:pStyle w:val="ListParagraph"/>
        <w:numPr>
          <w:ilvl w:val="0"/>
          <w:numId w:val="1"/>
        </w:numPr>
        <w:tabs>
          <w:tab w:val="left" w:pos="841"/>
        </w:tabs>
        <w:spacing w:before="94" w:line="285" w:lineRule="auto"/>
        <w:ind w:right="297"/>
      </w:pPr>
      <w:r>
        <w:t>Economic data and intelligence provided by the Economic Development team and other stakeholders (e.g. Glasgow City Region Intelligence Hub, Scottish Government, UK</w:t>
      </w:r>
      <w:r>
        <w:rPr>
          <w:spacing w:val="-9"/>
        </w:rPr>
        <w:t xml:space="preserve"> </w:t>
      </w:r>
      <w:r>
        <w:t>Government)</w:t>
      </w:r>
    </w:p>
    <w:p w14:paraId="40FB3897" w14:textId="77777777" w:rsidR="000E19E4" w:rsidRDefault="00000000">
      <w:pPr>
        <w:pStyle w:val="ListParagraph"/>
        <w:numPr>
          <w:ilvl w:val="0"/>
          <w:numId w:val="1"/>
        </w:numPr>
        <w:tabs>
          <w:tab w:val="left" w:pos="841"/>
        </w:tabs>
        <w:spacing w:before="117"/>
      </w:pPr>
      <w:r>
        <w:t>Summary of changes made to action</w:t>
      </w:r>
      <w:r>
        <w:rPr>
          <w:spacing w:val="-7"/>
        </w:rPr>
        <w:t xml:space="preserve"> </w:t>
      </w:r>
      <w:r>
        <w:t>log</w:t>
      </w:r>
    </w:p>
    <w:p w14:paraId="00B6C2AA" w14:textId="77777777" w:rsidR="000E19E4" w:rsidRDefault="00000000">
      <w:pPr>
        <w:pStyle w:val="Heading2"/>
        <w:spacing w:before="167"/>
      </w:pPr>
      <w:r>
        <w:t>OUTPUTS</w:t>
      </w:r>
    </w:p>
    <w:p w14:paraId="7E56A402" w14:textId="77777777" w:rsidR="000E19E4" w:rsidRDefault="00000000">
      <w:pPr>
        <w:pStyle w:val="ListParagraph"/>
        <w:numPr>
          <w:ilvl w:val="0"/>
          <w:numId w:val="1"/>
        </w:numPr>
        <w:tabs>
          <w:tab w:val="left" w:pos="841"/>
        </w:tabs>
        <w:spacing w:before="167"/>
      </w:pPr>
      <w:r>
        <w:t>Papers as required to SMG or</w:t>
      </w:r>
      <w:r>
        <w:rPr>
          <w:spacing w:val="-6"/>
        </w:rPr>
        <w:t xml:space="preserve"> </w:t>
      </w:r>
      <w:r>
        <w:t>Court</w:t>
      </w:r>
    </w:p>
    <w:p w14:paraId="5CDEE008" w14:textId="77777777" w:rsidR="000E19E4" w:rsidRDefault="00000000">
      <w:pPr>
        <w:pStyle w:val="ListParagraph"/>
        <w:numPr>
          <w:ilvl w:val="0"/>
          <w:numId w:val="1"/>
        </w:numPr>
        <w:tabs>
          <w:tab w:val="left" w:pos="841"/>
        </w:tabs>
        <w:spacing w:before="167"/>
      </w:pPr>
      <w:r>
        <w:t>Revised business cases</w:t>
      </w:r>
    </w:p>
    <w:p w14:paraId="6D45694C" w14:textId="77777777" w:rsidR="000E19E4" w:rsidRDefault="00000000">
      <w:pPr>
        <w:pStyle w:val="ListParagraph"/>
        <w:numPr>
          <w:ilvl w:val="0"/>
          <w:numId w:val="1"/>
        </w:numPr>
        <w:tabs>
          <w:tab w:val="left" w:pos="841"/>
        </w:tabs>
        <w:spacing w:before="168"/>
      </w:pPr>
      <w:r>
        <w:t>Communication and support for economic development, innovation and relevant civic</w:t>
      </w:r>
      <w:r>
        <w:rPr>
          <w:spacing w:val="-8"/>
        </w:rPr>
        <w:t xml:space="preserve"> </w:t>
      </w:r>
      <w:r>
        <w:t>initiatives</w:t>
      </w:r>
    </w:p>
    <w:p w14:paraId="1AE57303" w14:textId="77777777" w:rsidR="000E19E4" w:rsidRDefault="00000000">
      <w:pPr>
        <w:pStyle w:val="ListParagraph"/>
        <w:numPr>
          <w:ilvl w:val="0"/>
          <w:numId w:val="1"/>
        </w:numPr>
        <w:tabs>
          <w:tab w:val="left" w:pos="841"/>
        </w:tabs>
        <w:spacing w:before="167"/>
      </w:pPr>
      <w:r>
        <w:t>Community engagement plan and</w:t>
      </w:r>
      <w:r>
        <w:rPr>
          <w:spacing w:val="-3"/>
        </w:rPr>
        <w:t xml:space="preserve"> </w:t>
      </w:r>
      <w:r>
        <w:t>updates</w:t>
      </w:r>
    </w:p>
    <w:p w14:paraId="6F79EADE" w14:textId="77777777" w:rsidR="000E19E4" w:rsidRDefault="00000000">
      <w:pPr>
        <w:pStyle w:val="ListParagraph"/>
        <w:numPr>
          <w:ilvl w:val="0"/>
          <w:numId w:val="1"/>
        </w:numPr>
        <w:tabs>
          <w:tab w:val="left" w:pos="841"/>
        </w:tabs>
        <w:spacing w:before="167"/>
      </w:pPr>
      <w:r>
        <w:t>Decision</w:t>
      </w:r>
      <w:r>
        <w:rPr>
          <w:spacing w:val="-1"/>
        </w:rPr>
        <w:t xml:space="preserve"> </w:t>
      </w:r>
      <w:r>
        <w:t>Log</w:t>
      </w:r>
    </w:p>
    <w:p w14:paraId="33342A01" w14:textId="77777777" w:rsidR="000E19E4" w:rsidRDefault="00000000">
      <w:pPr>
        <w:pStyle w:val="ListParagraph"/>
        <w:numPr>
          <w:ilvl w:val="0"/>
          <w:numId w:val="1"/>
        </w:numPr>
        <w:tabs>
          <w:tab w:val="left" w:pos="841"/>
        </w:tabs>
        <w:spacing w:before="167"/>
      </w:pPr>
      <w:r>
        <w:t>Action Log</w:t>
      </w:r>
    </w:p>
    <w:p w14:paraId="733C3CCE" w14:textId="77777777" w:rsidR="000E19E4" w:rsidRDefault="00000000">
      <w:pPr>
        <w:pStyle w:val="ListParagraph"/>
        <w:numPr>
          <w:ilvl w:val="0"/>
          <w:numId w:val="1"/>
        </w:numPr>
        <w:tabs>
          <w:tab w:val="left" w:pos="841"/>
        </w:tabs>
        <w:spacing w:before="167"/>
      </w:pPr>
      <w:r>
        <w:t>Delivery Plan and updates</w:t>
      </w:r>
    </w:p>
    <w:p w14:paraId="320323BA" w14:textId="61CC1688" w:rsidR="000E19E4" w:rsidRDefault="00000000" w:rsidP="00D077C6">
      <w:pPr>
        <w:pStyle w:val="ListParagraph"/>
        <w:numPr>
          <w:ilvl w:val="0"/>
          <w:numId w:val="1"/>
        </w:numPr>
        <w:tabs>
          <w:tab w:val="left" w:pos="841"/>
        </w:tabs>
        <w:spacing w:before="167"/>
        <w:sectPr w:rsidR="000E19E4" w:rsidSect="00591009">
          <w:pgSz w:w="11910" w:h="16840"/>
          <w:pgMar w:top="1660" w:right="320" w:bottom="940" w:left="600" w:header="283" w:footer="752" w:gutter="0"/>
          <w:cols w:space="720"/>
        </w:sectPr>
      </w:pPr>
      <w:r>
        <w:t>Minut</w:t>
      </w:r>
      <w:r w:rsidR="00D077C6">
        <w:t>e</w:t>
      </w:r>
    </w:p>
    <w:p w14:paraId="48B38B05" w14:textId="598EE48C" w:rsidR="000E19E4" w:rsidRDefault="000E19E4">
      <w:pPr>
        <w:pStyle w:val="BodyText"/>
        <w:spacing w:before="2"/>
        <w:ind w:left="0" w:firstLine="0"/>
        <w:rPr>
          <w:sz w:val="25"/>
        </w:rPr>
      </w:pPr>
    </w:p>
    <w:sectPr w:rsidR="000E19E4">
      <w:pgSz w:w="11910" w:h="16840"/>
      <w:pgMar w:top="1660" w:right="320" w:bottom="940" w:left="600" w:header="283"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8580" w14:textId="77777777" w:rsidR="00591009" w:rsidRDefault="00591009">
      <w:r>
        <w:separator/>
      </w:r>
    </w:p>
  </w:endnote>
  <w:endnote w:type="continuationSeparator" w:id="0">
    <w:p w14:paraId="458BA681" w14:textId="77777777" w:rsidR="00591009" w:rsidRDefault="0059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D858" w14:textId="7BE413EC" w:rsidR="000E19E4" w:rsidRDefault="00D077C6">
    <w:pPr>
      <w:pStyle w:val="BodyText"/>
      <w:spacing w:line="14" w:lineRule="auto"/>
      <w:ind w:left="0" w:firstLine="0"/>
      <w:rPr>
        <w:sz w:val="20"/>
      </w:rPr>
    </w:pPr>
    <w:r>
      <w:rPr>
        <w:noProof/>
      </w:rPr>
      <mc:AlternateContent>
        <mc:Choice Requires="wps">
          <w:drawing>
            <wp:anchor distT="0" distB="0" distL="114300" distR="114300" simplePos="0" relativeHeight="251400192" behindDoc="1" locked="0" layoutInCell="1" allowOverlap="1" wp14:anchorId="56421558" wp14:editId="2AA44B28">
              <wp:simplePos x="0" y="0"/>
              <wp:positionH relativeFrom="page">
                <wp:posOffset>444500</wp:posOffset>
              </wp:positionH>
              <wp:positionV relativeFrom="page">
                <wp:posOffset>10075545</wp:posOffset>
              </wp:positionV>
              <wp:extent cx="1517015" cy="182245"/>
              <wp:effectExtent l="0" t="0" r="0" b="0"/>
              <wp:wrapNone/>
              <wp:docPr id="160514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702C" w14:textId="77777777" w:rsidR="000E19E4" w:rsidRDefault="00000000">
                          <w:pPr>
                            <w:pStyle w:val="BodyText"/>
                            <w:spacing w:before="13"/>
                            <w:ind w:left="20" w:firstLine="0"/>
                          </w:pPr>
                          <w:r>
                            <w:t>External (October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21558" id="_x0000_t202" coordsize="21600,21600" o:spt="202" path="m,l,21600r21600,l21600,xe">
              <v:stroke joinstyle="miter"/>
              <v:path gradientshapeok="t" o:connecttype="rect"/>
            </v:shapetype>
            <v:shape id="Text Box 2" o:spid="_x0000_s1027" type="#_x0000_t202" style="position:absolute;margin-left:35pt;margin-top:793.35pt;width:119.45pt;height:14.3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" filled="f" stroked="f">
              <v:textbox inset="0,0,0,0">
                <w:txbxContent>
                  <w:p w14:paraId="481F702C" w14:textId="77777777" w:rsidR="000E19E4" w:rsidRDefault="00000000">
                    <w:pPr>
                      <w:pStyle w:val="BodyText"/>
                      <w:spacing w:before="13"/>
                      <w:ind w:left="20" w:firstLine="0"/>
                    </w:pPr>
                    <w:r>
                      <w:t>External (October 2023)</w:t>
                    </w:r>
                  </w:p>
                </w:txbxContent>
              </v:textbox>
              <w10:wrap anchorx="page" anchory="page"/>
            </v:shape>
          </w:pict>
        </mc:Fallback>
      </mc:AlternateContent>
    </w:r>
    <w:r>
      <w:rPr>
        <w:noProof/>
      </w:rPr>
      <mc:AlternateContent>
        <mc:Choice Requires="wps">
          <w:drawing>
            <wp:anchor distT="0" distB="0" distL="114300" distR="114300" simplePos="0" relativeHeight="251401216" behindDoc="1" locked="0" layoutInCell="1" allowOverlap="1" wp14:anchorId="4039B5F9" wp14:editId="5F2AB1C1">
              <wp:simplePos x="0" y="0"/>
              <wp:positionH relativeFrom="page">
                <wp:posOffset>7016115</wp:posOffset>
              </wp:positionH>
              <wp:positionV relativeFrom="page">
                <wp:posOffset>10092690</wp:posOffset>
              </wp:positionV>
              <wp:extent cx="245745" cy="366395"/>
              <wp:effectExtent l="0" t="0" r="0" b="0"/>
              <wp:wrapNone/>
              <wp:docPr id="4999017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1F5F" w14:textId="77777777" w:rsidR="000E19E4" w:rsidRDefault="00000000">
                          <w:pPr>
                            <w:spacing w:before="4"/>
                            <w:ind w:left="60"/>
                            <w:rPr>
                              <w:sz w:val="48"/>
                            </w:rPr>
                          </w:pPr>
                          <w:r>
                            <w:fldChar w:fldCharType="begin"/>
                          </w:r>
                          <w:r>
                            <w:rPr>
                              <w:w w:val="99"/>
                              <w:sz w:val="4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B5F9" id="Text Box 1" o:spid="_x0000_s1028" type="#_x0000_t202" style="position:absolute;margin-left:552.45pt;margin-top:794.7pt;width:19.35pt;height:28.8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" filled="f" stroked="f">
              <v:textbox inset="0,0,0,0">
                <w:txbxContent>
                  <w:p w14:paraId="3CA21F5F" w14:textId="77777777" w:rsidR="000E19E4" w:rsidRDefault="00000000">
                    <w:pPr>
                      <w:spacing w:before="4"/>
                      <w:ind w:left="60"/>
                      <w:rPr>
                        <w:sz w:val="48"/>
                      </w:rPr>
                    </w:pPr>
                    <w:r>
                      <w:fldChar w:fldCharType="begin"/>
                    </w:r>
                    <w:r>
                      <w:rPr>
                        <w:w w:val="99"/>
                        <w:sz w:val="4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A4CB" w14:textId="77777777" w:rsidR="00591009" w:rsidRDefault="00591009">
      <w:r>
        <w:separator/>
      </w:r>
    </w:p>
  </w:footnote>
  <w:footnote w:type="continuationSeparator" w:id="0">
    <w:p w14:paraId="07732666" w14:textId="77777777" w:rsidR="00591009" w:rsidRDefault="0059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7FC5" w14:textId="7E2AA004" w:rsidR="000E19E4" w:rsidRDefault="00000000">
    <w:pPr>
      <w:pStyle w:val="BodyText"/>
      <w:spacing w:line="14" w:lineRule="auto"/>
      <w:ind w:left="0" w:firstLine="0"/>
      <w:rPr>
        <w:sz w:val="20"/>
      </w:rPr>
    </w:pPr>
    <w:r>
      <w:rPr>
        <w:noProof/>
      </w:rPr>
      <w:drawing>
        <wp:anchor distT="0" distB="0" distL="0" distR="0" simplePos="0" relativeHeight="251398144" behindDoc="1" locked="0" layoutInCell="1" allowOverlap="1" wp14:anchorId="5F1F1F2E" wp14:editId="47FC1D20">
          <wp:simplePos x="0" y="0"/>
          <wp:positionH relativeFrom="page">
            <wp:posOffset>289559</wp:posOffset>
          </wp:positionH>
          <wp:positionV relativeFrom="page">
            <wp:posOffset>179704</wp:posOffset>
          </wp:positionV>
          <wp:extent cx="1345311" cy="7277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5311" cy="727709"/>
                  </a:xfrm>
                  <a:prstGeom prst="rect">
                    <a:avLst/>
                  </a:prstGeom>
                </pic:spPr>
              </pic:pic>
            </a:graphicData>
          </a:graphic>
        </wp:anchor>
      </w:drawing>
    </w:r>
    <w:r w:rsidR="00D077C6">
      <w:rPr>
        <w:noProof/>
      </w:rPr>
      <mc:AlternateContent>
        <mc:Choice Requires="wps">
          <w:drawing>
            <wp:anchor distT="0" distB="0" distL="114300" distR="114300" simplePos="0" relativeHeight="251399168" behindDoc="1" locked="0" layoutInCell="1" allowOverlap="1" wp14:anchorId="2DF6204E" wp14:editId="5D6EC93A">
              <wp:simplePos x="0" y="0"/>
              <wp:positionH relativeFrom="page">
                <wp:posOffset>3293745</wp:posOffset>
              </wp:positionH>
              <wp:positionV relativeFrom="page">
                <wp:posOffset>173990</wp:posOffset>
              </wp:positionV>
              <wp:extent cx="4011930" cy="487045"/>
              <wp:effectExtent l="0" t="0" r="0" b="0"/>
              <wp:wrapNone/>
              <wp:docPr id="1173220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E59B" w14:textId="77777777" w:rsidR="000E19E4" w:rsidRDefault="00000000">
                          <w:pPr>
                            <w:spacing w:before="9"/>
                            <w:ind w:right="18"/>
                            <w:jc w:val="right"/>
                            <w:rPr>
                              <w:b/>
                              <w:sz w:val="32"/>
                            </w:rPr>
                          </w:pPr>
                          <w:r>
                            <w:rPr>
                              <w:b/>
                              <w:color w:val="7E7E7E"/>
                              <w:sz w:val="32"/>
                            </w:rPr>
                            <w:t>University Economic Development</w:t>
                          </w:r>
                          <w:r>
                            <w:rPr>
                              <w:b/>
                              <w:color w:val="7E7E7E"/>
                              <w:spacing w:val="-7"/>
                              <w:sz w:val="32"/>
                            </w:rPr>
                            <w:t xml:space="preserve"> </w:t>
                          </w:r>
                          <w:r>
                            <w:rPr>
                              <w:b/>
                              <w:color w:val="7E7E7E"/>
                              <w:sz w:val="32"/>
                            </w:rPr>
                            <w:t>Board</w:t>
                          </w:r>
                        </w:p>
                        <w:p w14:paraId="00A31E1D" w14:textId="77777777" w:rsidR="000E19E4" w:rsidRDefault="00000000">
                          <w:pPr>
                            <w:spacing w:before="1"/>
                            <w:ind w:right="21"/>
                            <w:jc w:val="right"/>
                            <w:rPr>
                              <w:b/>
                              <w:sz w:val="32"/>
                            </w:rPr>
                          </w:pPr>
                          <w:r>
                            <w:rPr>
                              <w:b/>
                              <w:color w:val="7E7E7E"/>
                              <w:sz w:val="32"/>
                            </w:rPr>
                            <w:t>Terms of</w:t>
                          </w:r>
                          <w:r>
                            <w:rPr>
                              <w:b/>
                              <w:color w:val="7E7E7E"/>
                              <w:spacing w:val="-6"/>
                              <w:sz w:val="32"/>
                            </w:rPr>
                            <w:t xml:space="preserve"> </w:t>
                          </w:r>
                          <w:r>
                            <w:rPr>
                              <w:b/>
                              <w:color w:val="7E7E7E"/>
                              <w:sz w:val="32"/>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6204E" id="_x0000_t202" coordsize="21600,21600" o:spt="202" path="m,l,21600r21600,l21600,xe">
              <v:stroke joinstyle="miter"/>
              <v:path gradientshapeok="t" o:connecttype="rect"/>
            </v:shapetype>
            <v:shape id="Text Box 3" o:spid="_x0000_s1026" type="#_x0000_t202" style="position:absolute;margin-left:259.35pt;margin-top:13.7pt;width:315.9pt;height:38.3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" filled="f" stroked="f">
              <v:textbox inset="0,0,0,0">
                <w:txbxContent>
                  <w:p w14:paraId="0106E59B" w14:textId="77777777" w:rsidR="000E19E4" w:rsidRDefault="00000000">
                    <w:pPr>
                      <w:spacing w:before="9"/>
                      <w:ind w:right="18"/>
                      <w:jc w:val="right"/>
                      <w:rPr>
                        <w:b/>
                        <w:sz w:val="32"/>
                      </w:rPr>
                    </w:pPr>
                    <w:r>
                      <w:rPr>
                        <w:b/>
                        <w:color w:val="7E7E7E"/>
                        <w:sz w:val="32"/>
                      </w:rPr>
                      <w:t>University Economic Development</w:t>
                    </w:r>
                    <w:r>
                      <w:rPr>
                        <w:b/>
                        <w:color w:val="7E7E7E"/>
                        <w:spacing w:val="-7"/>
                        <w:sz w:val="32"/>
                      </w:rPr>
                      <w:t xml:space="preserve"> </w:t>
                    </w:r>
                    <w:r>
                      <w:rPr>
                        <w:b/>
                        <w:color w:val="7E7E7E"/>
                        <w:sz w:val="32"/>
                      </w:rPr>
                      <w:t>Board</w:t>
                    </w:r>
                  </w:p>
                  <w:p w14:paraId="00A31E1D" w14:textId="77777777" w:rsidR="000E19E4" w:rsidRDefault="00000000">
                    <w:pPr>
                      <w:spacing w:before="1"/>
                      <w:ind w:right="21"/>
                      <w:jc w:val="right"/>
                      <w:rPr>
                        <w:b/>
                        <w:sz w:val="32"/>
                      </w:rPr>
                    </w:pPr>
                    <w:r>
                      <w:rPr>
                        <w:b/>
                        <w:color w:val="7E7E7E"/>
                        <w:sz w:val="32"/>
                      </w:rPr>
                      <w:t>Terms of</w:t>
                    </w:r>
                    <w:r>
                      <w:rPr>
                        <w:b/>
                        <w:color w:val="7E7E7E"/>
                        <w:spacing w:val="-6"/>
                        <w:sz w:val="32"/>
                      </w:rPr>
                      <w:t xml:space="preserve"> </w:t>
                    </w:r>
                    <w:r>
                      <w:rPr>
                        <w:b/>
                        <w:color w:val="7E7E7E"/>
                        <w:sz w:val="32"/>
                      </w:rPr>
                      <w:t>Reference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FFF"/>
    <w:multiLevelType w:val="hybridMultilevel"/>
    <w:tmpl w:val="FDECEB04"/>
    <w:lvl w:ilvl="0" w:tplc="95545DEC">
      <w:start w:val="1"/>
      <w:numFmt w:val="decimal"/>
      <w:lvlText w:val="%1."/>
      <w:lvlJc w:val="left"/>
      <w:pPr>
        <w:ind w:left="477" w:hanging="358"/>
        <w:jc w:val="left"/>
      </w:pPr>
      <w:rPr>
        <w:rFonts w:ascii="Arial" w:eastAsia="Arial" w:hAnsi="Arial" w:cs="Arial" w:hint="default"/>
        <w:b/>
        <w:bCs/>
        <w:spacing w:val="-1"/>
        <w:w w:val="100"/>
        <w:sz w:val="24"/>
        <w:szCs w:val="24"/>
        <w:lang w:val="en-US" w:eastAsia="en-US" w:bidi="en-US"/>
      </w:rPr>
    </w:lvl>
    <w:lvl w:ilvl="1" w:tplc="8C46D1BC">
      <w:numFmt w:val="bullet"/>
      <w:lvlText w:val=""/>
      <w:lvlJc w:val="left"/>
      <w:pPr>
        <w:ind w:left="840" w:hanging="361"/>
      </w:pPr>
      <w:rPr>
        <w:rFonts w:ascii="Wingdings" w:eastAsia="Wingdings" w:hAnsi="Wingdings" w:cs="Wingdings" w:hint="default"/>
        <w:color w:val="4F5860"/>
        <w:w w:val="100"/>
        <w:sz w:val="28"/>
        <w:szCs w:val="28"/>
        <w:lang w:val="en-US" w:eastAsia="en-US" w:bidi="en-US"/>
      </w:rPr>
    </w:lvl>
    <w:lvl w:ilvl="2" w:tplc="9C7E13FC">
      <w:numFmt w:val="bullet"/>
      <w:lvlText w:val="•"/>
      <w:lvlJc w:val="left"/>
      <w:pPr>
        <w:ind w:left="1967" w:hanging="361"/>
      </w:pPr>
      <w:rPr>
        <w:rFonts w:hint="default"/>
        <w:lang w:val="en-US" w:eastAsia="en-US" w:bidi="en-US"/>
      </w:rPr>
    </w:lvl>
    <w:lvl w:ilvl="3" w:tplc="0BEA5BDC">
      <w:numFmt w:val="bullet"/>
      <w:lvlText w:val="•"/>
      <w:lvlJc w:val="left"/>
      <w:pPr>
        <w:ind w:left="3094" w:hanging="361"/>
      </w:pPr>
      <w:rPr>
        <w:rFonts w:hint="default"/>
        <w:lang w:val="en-US" w:eastAsia="en-US" w:bidi="en-US"/>
      </w:rPr>
    </w:lvl>
    <w:lvl w:ilvl="4" w:tplc="980A4586">
      <w:numFmt w:val="bullet"/>
      <w:lvlText w:val="•"/>
      <w:lvlJc w:val="left"/>
      <w:pPr>
        <w:ind w:left="4222" w:hanging="361"/>
      </w:pPr>
      <w:rPr>
        <w:rFonts w:hint="default"/>
        <w:lang w:val="en-US" w:eastAsia="en-US" w:bidi="en-US"/>
      </w:rPr>
    </w:lvl>
    <w:lvl w:ilvl="5" w:tplc="B5587A96">
      <w:numFmt w:val="bullet"/>
      <w:lvlText w:val="•"/>
      <w:lvlJc w:val="left"/>
      <w:pPr>
        <w:ind w:left="5349" w:hanging="361"/>
      </w:pPr>
      <w:rPr>
        <w:rFonts w:hint="default"/>
        <w:lang w:val="en-US" w:eastAsia="en-US" w:bidi="en-US"/>
      </w:rPr>
    </w:lvl>
    <w:lvl w:ilvl="6" w:tplc="530C82AE">
      <w:numFmt w:val="bullet"/>
      <w:lvlText w:val="•"/>
      <w:lvlJc w:val="left"/>
      <w:pPr>
        <w:ind w:left="6476" w:hanging="361"/>
      </w:pPr>
      <w:rPr>
        <w:rFonts w:hint="default"/>
        <w:lang w:val="en-US" w:eastAsia="en-US" w:bidi="en-US"/>
      </w:rPr>
    </w:lvl>
    <w:lvl w:ilvl="7" w:tplc="DDE8C66E">
      <w:numFmt w:val="bullet"/>
      <w:lvlText w:val="•"/>
      <w:lvlJc w:val="left"/>
      <w:pPr>
        <w:ind w:left="7604" w:hanging="361"/>
      </w:pPr>
      <w:rPr>
        <w:rFonts w:hint="default"/>
        <w:lang w:val="en-US" w:eastAsia="en-US" w:bidi="en-US"/>
      </w:rPr>
    </w:lvl>
    <w:lvl w:ilvl="8" w:tplc="1E807E42">
      <w:numFmt w:val="bullet"/>
      <w:lvlText w:val="•"/>
      <w:lvlJc w:val="left"/>
      <w:pPr>
        <w:ind w:left="8731" w:hanging="361"/>
      </w:pPr>
      <w:rPr>
        <w:rFonts w:hint="default"/>
        <w:lang w:val="en-US" w:eastAsia="en-US" w:bidi="en-US"/>
      </w:rPr>
    </w:lvl>
  </w:abstractNum>
  <w:abstractNum w:abstractNumId="1" w15:restartNumberingAfterBreak="0">
    <w:nsid w:val="2AB21DEC"/>
    <w:multiLevelType w:val="hybridMultilevel"/>
    <w:tmpl w:val="1B3669FC"/>
    <w:lvl w:ilvl="0" w:tplc="75F0EC14">
      <w:numFmt w:val="bullet"/>
      <w:lvlText w:val=""/>
      <w:lvlJc w:val="left"/>
      <w:pPr>
        <w:ind w:left="840" w:hanging="361"/>
      </w:pPr>
      <w:rPr>
        <w:rFonts w:ascii="Symbol" w:eastAsia="Symbol" w:hAnsi="Symbol" w:cs="Symbol" w:hint="default"/>
        <w:w w:val="100"/>
        <w:sz w:val="22"/>
        <w:szCs w:val="22"/>
        <w:lang w:val="en-US" w:eastAsia="en-US" w:bidi="en-US"/>
      </w:rPr>
    </w:lvl>
    <w:lvl w:ilvl="1" w:tplc="6870165E">
      <w:numFmt w:val="bullet"/>
      <w:lvlText w:val="•"/>
      <w:lvlJc w:val="left"/>
      <w:pPr>
        <w:ind w:left="1854" w:hanging="361"/>
      </w:pPr>
      <w:rPr>
        <w:rFonts w:hint="default"/>
        <w:lang w:val="en-US" w:eastAsia="en-US" w:bidi="en-US"/>
      </w:rPr>
    </w:lvl>
    <w:lvl w:ilvl="2" w:tplc="74B846A2">
      <w:numFmt w:val="bullet"/>
      <w:lvlText w:val="•"/>
      <w:lvlJc w:val="left"/>
      <w:pPr>
        <w:ind w:left="2869" w:hanging="361"/>
      </w:pPr>
      <w:rPr>
        <w:rFonts w:hint="default"/>
        <w:lang w:val="en-US" w:eastAsia="en-US" w:bidi="en-US"/>
      </w:rPr>
    </w:lvl>
    <w:lvl w:ilvl="3" w:tplc="47C22E58">
      <w:numFmt w:val="bullet"/>
      <w:lvlText w:val="•"/>
      <w:lvlJc w:val="left"/>
      <w:pPr>
        <w:ind w:left="3883" w:hanging="361"/>
      </w:pPr>
      <w:rPr>
        <w:rFonts w:hint="default"/>
        <w:lang w:val="en-US" w:eastAsia="en-US" w:bidi="en-US"/>
      </w:rPr>
    </w:lvl>
    <w:lvl w:ilvl="4" w:tplc="587875F6">
      <w:numFmt w:val="bullet"/>
      <w:lvlText w:val="•"/>
      <w:lvlJc w:val="left"/>
      <w:pPr>
        <w:ind w:left="4898" w:hanging="361"/>
      </w:pPr>
      <w:rPr>
        <w:rFonts w:hint="default"/>
        <w:lang w:val="en-US" w:eastAsia="en-US" w:bidi="en-US"/>
      </w:rPr>
    </w:lvl>
    <w:lvl w:ilvl="5" w:tplc="D5DAC6AE">
      <w:numFmt w:val="bullet"/>
      <w:lvlText w:val="•"/>
      <w:lvlJc w:val="left"/>
      <w:pPr>
        <w:ind w:left="5913" w:hanging="361"/>
      </w:pPr>
      <w:rPr>
        <w:rFonts w:hint="default"/>
        <w:lang w:val="en-US" w:eastAsia="en-US" w:bidi="en-US"/>
      </w:rPr>
    </w:lvl>
    <w:lvl w:ilvl="6" w:tplc="8FEA90BE">
      <w:numFmt w:val="bullet"/>
      <w:lvlText w:val="•"/>
      <w:lvlJc w:val="left"/>
      <w:pPr>
        <w:ind w:left="6927" w:hanging="361"/>
      </w:pPr>
      <w:rPr>
        <w:rFonts w:hint="default"/>
        <w:lang w:val="en-US" w:eastAsia="en-US" w:bidi="en-US"/>
      </w:rPr>
    </w:lvl>
    <w:lvl w:ilvl="7" w:tplc="576E81F0">
      <w:numFmt w:val="bullet"/>
      <w:lvlText w:val="•"/>
      <w:lvlJc w:val="left"/>
      <w:pPr>
        <w:ind w:left="7942" w:hanging="361"/>
      </w:pPr>
      <w:rPr>
        <w:rFonts w:hint="default"/>
        <w:lang w:val="en-US" w:eastAsia="en-US" w:bidi="en-US"/>
      </w:rPr>
    </w:lvl>
    <w:lvl w:ilvl="8" w:tplc="6A0CE7FC">
      <w:numFmt w:val="bullet"/>
      <w:lvlText w:val="•"/>
      <w:lvlJc w:val="left"/>
      <w:pPr>
        <w:ind w:left="8957" w:hanging="361"/>
      </w:pPr>
      <w:rPr>
        <w:rFonts w:hint="default"/>
        <w:lang w:val="en-US" w:eastAsia="en-US" w:bidi="en-US"/>
      </w:rPr>
    </w:lvl>
  </w:abstractNum>
  <w:abstractNum w:abstractNumId="2" w15:restartNumberingAfterBreak="0">
    <w:nsid w:val="30346581"/>
    <w:multiLevelType w:val="hybridMultilevel"/>
    <w:tmpl w:val="98E87878"/>
    <w:lvl w:ilvl="0" w:tplc="0A52523A">
      <w:numFmt w:val="bullet"/>
      <w:lvlText w:val=""/>
      <w:lvlJc w:val="left"/>
      <w:pPr>
        <w:ind w:left="840" w:hanging="361"/>
      </w:pPr>
      <w:rPr>
        <w:rFonts w:ascii="Wingdings" w:eastAsia="Wingdings" w:hAnsi="Wingdings" w:cs="Wingdings" w:hint="default"/>
        <w:w w:val="100"/>
        <w:sz w:val="22"/>
        <w:szCs w:val="22"/>
        <w:lang w:val="en-US" w:eastAsia="en-US" w:bidi="en-US"/>
      </w:rPr>
    </w:lvl>
    <w:lvl w:ilvl="1" w:tplc="DE9A3B72">
      <w:numFmt w:val="bullet"/>
      <w:lvlText w:val="•"/>
      <w:lvlJc w:val="left"/>
      <w:pPr>
        <w:ind w:left="1854" w:hanging="361"/>
      </w:pPr>
      <w:rPr>
        <w:rFonts w:hint="default"/>
        <w:lang w:val="en-US" w:eastAsia="en-US" w:bidi="en-US"/>
      </w:rPr>
    </w:lvl>
    <w:lvl w:ilvl="2" w:tplc="E12CDAAA">
      <w:numFmt w:val="bullet"/>
      <w:lvlText w:val="•"/>
      <w:lvlJc w:val="left"/>
      <w:pPr>
        <w:ind w:left="2869" w:hanging="361"/>
      </w:pPr>
      <w:rPr>
        <w:rFonts w:hint="default"/>
        <w:lang w:val="en-US" w:eastAsia="en-US" w:bidi="en-US"/>
      </w:rPr>
    </w:lvl>
    <w:lvl w:ilvl="3" w:tplc="5C709094">
      <w:numFmt w:val="bullet"/>
      <w:lvlText w:val="•"/>
      <w:lvlJc w:val="left"/>
      <w:pPr>
        <w:ind w:left="3883" w:hanging="361"/>
      </w:pPr>
      <w:rPr>
        <w:rFonts w:hint="default"/>
        <w:lang w:val="en-US" w:eastAsia="en-US" w:bidi="en-US"/>
      </w:rPr>
    </w:lvl>
    <w:lvl w:ilvl="4" w:tplc="1F00A454">
      <w:numFmt w:val="bullet"/>
      <w:lvlText w:val="•"/>
      <w:lvlJc w:val="left"/>
      <w:pPr>
        <w:ind w:left="4898" w:hanging="361"/>
      </w:pPr>
      <w:rPr>
        <w:rFonts w:hint="default"/>
        <w:lang w:val="en-US" w:eastAsia="en-US" w:bidi="en-US"/>
      </w:rPr>
    </w:lvl>
    <w:lvl w:ilvl="5" w:tplc="95AC7C80">
      <w:numFmt w:val="bullet"/>
      <w:lvlText w:val="•"/>
      <w:lvlJc w:val="left"/>
      <w:pPr>
        <w:ind w:left="5913" w:hanging="361"/>
      </w:pPr>
      <w:rPr>
        <w:rFonts w:hint="default"/>
        <w:lang w:val="en-US" w:eastAsia="en-US" w:bidi="en-US"/>
      </w:rPr>
    </w:lvl>
    <w:lvl w:ilvl="6" w:tplc="A00C69AE">
      <w:numFmt w:val="bullet"/>
      <w:lvlText w:val="•"/>
      <w:lvlJc w:val="left"/>
      <w:pPr>
        <w:ind w:left="6927" w:hanging="361"/>
      </w:pPr>
      <w:rPr>
        <w:rFonts w:hint="default"/>
        <w:lang w:val="en-US" w:eastAsia="en-US" w:bidi="en-US"/>
      </w:rPr>
    </w:lvl>
    <w:lvl w:ilvl="7" w:tplc="C7C460F8">
      <w:numFmt w:val="bullet"/>
      <w:lvlText w:val="•"/>
      <w:lvlJc w:val="left"/>
      <w:pPr>
        <w:ind w:left="7942" w:hanging="361"/>
      </w:pPr>
      <w:rPr>
        <w:rFonts w:hint="default"/>
        <w:lang w:val="en-US" w:eastAsia="en-US" w:bidi="en-US"/>
      </w:rPr>
    </w:lvl>
    <w:lvl w:ilvl="8" w:tplc="88DA7460">
      <w:numFmt w:val="bullet"/>
      <w:lvlText w:val="•"/>
      <w:lvlJc w:val="left"/>
      <w:pPr>
        <w:ind w:left="8957" w:hanging="361"/>
      </w:pPr>
      <w:rPr>
        <w:rFonts w:hint="default"/>
        <w:lang w:val="en-US" w:eastAsia="en-US" w:bidi="en-US"/>
      </w:rPr>
    </w:lvl>
  </w:abstractNum>
  <w:abstractNum w:abstractNumId="3" w15:restartNumberingAfterBreak="0">
    <w:nsid w:val="70343FB9"/>
    <w:multiLevelType w:val="hybridMultilevel"/>
    <w:tmpl w:val="9B7428F0"/>
    <w:lvl w:ilvl="0" w:tplc="C5640EB0">
      <w:numFmt w:val="bullet"/>
      <w:lvlText w:val=""/>
      <w:lvlJc w:val="left"/>
      <w:pPr>
        <w:ind w:left="840" w:hanging="361"/>
      </w:pPr>
      <w:rPr>
        <w:rFonts w:ascii="Symbol" w:eastAsia="Symbol" w:hAnsi="Symbol" w:cs="Symbol" w:hint="default"/>
        <w:w w:val="100"/>
        <w:sz w:val="22"/>
        <w:szCs w:val="22"/>
        <w:lang w:val="en-US" w:eastAsia="en-US" w:bidi="en-US"/>
      </w:rPr>
    </w:lvl>
    <w:lvl w:ilvl="1" w:tplc="CA3A8638">
      <w:numFmt w:val="bullet"/>
      <w:lvlText w:val="•"/>
      <w:lvlJc w:val="left"/>
      <w:pPr>
        <w:ind w:left="1854" w:hanging="361"/>
      </w:pPr>
      <w:rPr>
        <w:rFonts w:hint="default"/>
        <w:lang w:val="en-US" w:eastAsia="en-US" w:bidi="en-US"/>
      </w:rPr>
    </w:lvl>
    <w:lvl w:ilvl="2" w:tplc="BB0669DC">
      <w:numFmt w:val="bullet"/>
      <w:lvlText w:val="•"/>
      <w:lvlJc w:val="left"/>
      <w:pPr>
        <w:ind w:left="2869" w:hanging="361"/>
      </w:pPr>
      <w:rPr>
        <w:rFonts w:hint="default"/>
        <w:lang w:val="en-US" w:eastAsia="en-US" w:bidi="en-US"/>
      </w:rPr>
    </w:lvl>
    <w:lvl w:ilvl="3" w:tplc="B5D2D82E">
      <w:numFmt w:val="bullet"/>
      <w:lvlText w:val="•"/>
      <w:lvlJc w:val="left"/>
      <w:pPr>
        <w:ind w:left="3883" w:hanging="361"/>
      </w:pPr>
      <w:rPr>
        <w:rFonts w:hint="default"/>
        <w:lang w:val="en-US" w:eastAsia="en-US" w:bidi="en-US"/>
      </w:rPr>
    </w:lvl>
    <w:lvl w:ilvl="4" w:tplc="F7FAC2F8">
      <w:numFmt w:val="bullet"/>
      <w:lvlText w:val="•"/>
      <w:lvlJc w:val="left"/>
      <w:pPr>
        <w:ind w:left="4898" w:hanging="361"/>
      </w:pPr>
      <w:rPr>
        <w:rFonts w:hint="default"/>
        <w:lang w:val="en-US" w:eastAsia="en-US" w:bidi="en-US"/>
      </w:rPr>
    </w:lvl>
    <w:lvl w:ilvl="5" w:tplc="45B80F42">
      <w:numFmt w:val="bullet"/>
      <w:lvlText w:val="•"/>
      <w:lvlJc w:val="left"/>
      <w:pPr>
        <w:ind w:left="5913" w:hanging="361"/>
      </w:pPr>
      <w:rPr>
        <w:rFonts w:hint="default"/>
        <w:lang w:val="en-US" w:eastAsia="en-US" w:bidi="en-US"/>
      </w:rPr>
    </w:lvl>
    <w:lvl w:ilvl="6" w:tplc="A3521A44">
      <w:numFmt w:val="bullet"/>
      <w:lvlText w:val="•"/>
      <w:lvlJc w:val="left"/>
      <w:pPr>
        <w:ind w:left="6927" w:hanging="361"/>
      </w:pPr>
      <w:rPr>
        <w:rFonts w:hint="default"/>
        <w:lang w:val="en-US" w:eastAsia="en-US" w:bidi="en-US"/>
      </w:rPr>
    </w:lvl>
    <w:lvl w:ilvl="7" w:tplc="231E8B1E">
      <w:numFmt w:val="bullet"/>
      <w:lvlText w:val="•"/>
      <w:lvlJc w:val="left"/>
      <w:pPr>
        <w:ind w:left="7942" w:hanging="361"/>
      </w:pPr>
      <w:rPr>
        <w:rFonts w:hint="default"/>
        <w:lang w:val="en-US" w:eastAsia="en-US" w:bidi="en-US"/>
      </w:rPr>
    </w:lvl>
    <w:lvl w:ilvl="8" w:tplc="A6B62B7E">
      <w:numFmt w:val="bullet"/>
      <w:lvlText w:val="•"/>
      <w:lvlJc w:val="left"/>
      <w:pPr>
        <w:ind w:left="8957" w:hanging="361"/>
      </w:pPr>
      <w:rPr>
        <w:rFonts w:hint="default"/>
        <w:lang w:val="en-US" w:eastAsia="en-US" w:bidi="en-US"/>
      </w:rPr>
    </w:lvl>
  </w:abstractNum>
  <w:num w:numId="1" w16cid:durableId="2006744950">
    <w:abstractNumId w:val="2"/>
  </w:num>
  <w:num w:numId="2" w16cid:durableId="1606157536">
    <w:abstractNumId w:val="1"/>
  </w:num>
  <w:num w:numId="3" w16cid:durableId="1388187342">
    <w:abstractNumId w:val="3"/>
  </w:num>
  <w:num w:numId="4" w16cid:durableId="19008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E4"/>
    <w:rsid w:val="000E19E4"/>
    <w:rsid w:val="00591009"/>
    <w:rsid w:val="00D077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F4D87"/>
  <w15:docId w15:val="{F2D1DA75-7CFC-4E66-8D50-3443F9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2"/>
      <w:ind w:left="477" w:hanging="358"/>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2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a.ac.uk/myglasgow/staff/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Strategy Board Terms of Reference</dc:title>
  <dc:creator>Craig.Chapman-Smith@glasgow.ac.uk</dc:creator>
  <cp:lastModifiedBy>Amber Higgins</cp:lastModifiedBy>
  <cp:revision>2</cp:revision>
  <dcterms:created xsi:type="dcterms:W3CDTF">2024-02-01T11:36:00Z</dcterms:created>
  <dcterms:modified xsi:type="dcterms:W3CDTF">2024-02-01T11:36:00Z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2024-02-01T00:00:00Z</vt:filetime>
  </property>
</Properties>
</file>