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63AE" w14:textId="588D89EC" w:rsidR="00657F52" w:rsidRDefault="00657F52" w:rsidP="00657F52">
      <w:pPr>
        <w:rPr>
          <w:rFonts w:ascii="Arial" w:hAnsi="Arial" w:cs="Arial"/>
          <w:b/>
          <w:iCs/>
          <w:sz w:val="28"/>
          <w:szCs w:val="28"/>
        </w:rPr>
      </w:pPr>
      <w:r>
        <w:rPr>
          <w:rFonts w:ascii="Arial" w:hAnsi="Arial" w:cs="Arial"/>
          <w:b/>
          <w:iCs/>
          <w:noProof/>
          <w:sz w:val="28"/>
          <w:szCs w:val="28"/>
          <w14:ligatures w14:val="standardContextual"/>
        </w:rPr>
        <w:drawing>
          <wp:inline distT="0" distB="0" distL="0" distR="0" wp14:anchorId="48F0F6E1" wp14:editId="01F52D24">
            <wp:extent cx="3705225" cy="638748"/>
            <wp:effectExtent l="0" t="0" r="0" b="9525"/>
            <wp:docPr id="681690797" name="Picture 1"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90797" name="Picture 1" descr="MRC/CSO Social and Public Health Sciences Unit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1238" cy="660471"/>
                    </a:xfrm>
                    <a:prstGeom prst="rect">
                      <a:avLst/>
                    </a:prstGeom>
                  </pic:spPr>
                </pic:pic>
              </a:graphicData>
            </a:graphic>
          </wp:inline>
        </w:drawing>
      </w:r>
    </w:p>
    <w:p w14:paraId="63B0063B" w14:textId="77777777" w:rsidR="00657F52" w:rsidRDefault="00657F52" w:rsidP="00657F52">
      <w:pPr>
        <w:rPr>
          <w:rFonts w:ascii="Arial" w:hAnsi="Arial" w:cs="Arial"/>
          <w:b/>
          <w:iCs/>
          <w:sz w:val="28"/>
          <w:szCs w:val="28"/>
        </w:rPr>
      </w:pPr>
    </w:p>
    <w:p w14:paraId="313F6466" w14:textId="33F7BEBB" w:rsidR="00657F52" w:rsidRDefault="00657F52" w:rsidP="006F58D4">
      <w:pPr>
        <w:rPr>
          <w:rFonts w:ascii="Arial" w:hAnsi="Arial" w:cs="Arial"/>
          <w:b/>
          <w:iCs/>
          <w:sz w:val="28"/>
          <w:szCs w:val="28"/>
        </w:rPr>
      </w:pPr>
      <w:r>
        <w:rPr>
          <w:rFonts w:ascii="Arial" w:hAnsi="Arial" w:cs="Arial"/>
          <w:b/>
          <w:iCs/>
          <w:sz w:val="28"/>
          <w:szCs w:val="28"/>
        </w:rPr>
        <w:t>MRC/CSO Social and Public Health Sciences Unit Consultation Response</w:t>
      </w:r>
    </w:p>
    <w:p w14:paraId="67FB6668" w14:textId="77777777" w:rsidR="00657F52" w:rsidRDefault="00657F52" w:rsidP="006F58D4">
      <w:pPr>
        <w:rPr>
          <w:rFonts w:ascii="Arial" w:hAnsi="Arial" w:cs="Arial"/>
          <w:b/>
          <w:iCs/>
          <w:sz w:val="28"/>
          <w:szCs w:val="28"/>
        </w:rPr>
      </w:pPr>
    </w:p>
    <w:p w14:paraId="32949D51" w14:textId="77777777" w:rsidR="00657F52" w:rsidRDefault="00657F52" w:rsidP="006F58D4">
      <w:pPr>
        <w:rPr>
          <w:rFonts w:ascii="Arial" w:hAnsi="Arial" w:cs="Arial"/>
          <w:b/>
          <w:iCs/>
          <w:sz w:val="24"/>
          <w:szCs w:val="24"/>
        </w:rPr>
      </w:pPr>
      <w:r w:rsidRPr="00657F52">
        <w:rPr>
          <w:rFonts w:ascii="Arial" w:hAnsi="Arial" w:cs="Arial"/>
          <w:b/>
          <w:iCs/>
          <w:sz w:val="24"/>
          <w:szCs w:val="24"/>
        </w:rPr>
        <w:t>Title of consultation</w:t>
      </w:r>
    </w:p>
    <w:p w14:paraId="63BB7E54" w14:textId="77777777" w:rsidR="00657F52" w:rsidRDefault="00657F52" w:rsidP="006F58D4">
      <w:pPr>
        <w:rPr>
          <w:rFonts w:ascii="Arial" w:hAnsi="Arial" w:cs="Arial"/>
          <w:b/>
          <w:iCs/>
          <w:sz w:val="24"/>
          <w:szCs w:val="24"/>
        </w:rPr>
      </w:pPr>
    </w:p>
    <w:p w14:paraId="1A4C752C" w14:textId="3A2096F6" w:rsidR="00DF4BDA" w:rsidRPr="00DF4BDA" w:rsidRDefault="00DF4BDA" w:rsidP="006F58D4">
      <w:pPr>
        <w:rPr>
          <w:rFonts w:asciiTheme="minorBidi" w:hAnsiTheme="minorBidi" w:cstheme="minorBidi"/>
          <w:sz w:val="24"/>
          <w:szCs w:val="24"/>
        </w:rPr>
      </w:pPr>
      <w:r w:rsidRPr="00DF4BDA">
        <w:rPr>
          <w:rFonts w:asciiTheme="minorBidi" w:hAnsiTheme="minorBidi" w:cstheme="minorBidi"/>
          <w:sz w:val="24"/>
          <w:szCs w:val="24"/>
        </w:rPr>
        <w:t xml:space="preserve">Delivery of relationships, sexual </w:t>
      </w:r>
      <w:proofErr w:type="gramStart"/>
      <w:r w:rsidRPr="00DF4BDA">
        <w:rPr>
          <w:rFonts w:asciiTheme="minorBidi" w:hAnsiTheme="minorBidi" w:cstheme="minorBidi"/>
          <w:sz w:val="24"/>
          <w:szCs w:val="24"/>
        </w:rPr>
        <w:t>health</w:t>
      </w:r>
      <w:proofErr w:type="gramEnd"/>
      <w:r w:rsidRPr="00DF4BDA">
        <w:rPr>
          <w:rFonts w:asciiTheme="minorBidi" w:hAnsiTheme="minorBidi" w:cstheme="minorBidi"/>
          <w:sz w:val="24"/>
          <w:szCs w:val="24"/>
        </w:rPr>
        <w:t xml:space="preserve"> and parenthood (RSHP) education in Scottish schools - draft statutory guidance</w:t>
      </w:r>
    </w:p>
    <w:p w14:paraId="2C0E61C2" w14:textId="77777777" w:rsidR="00657F52" w:rsidRDefault="00657F52" w:rsidP="006F58D4">
      <w:pPr>
        <w:rPr>
          <w:rFonts w:ascii="Arial" w:hAnsi="Arial" w:cs="Arial"/>
          <w:b/>
          <w:iCs/>
          <w:sz w:val="24"/>
          <w:szCs w:val="24"/>
        </w:rPr>
      </w:pPr>
    </w:p>
    <w:p w14:paraId="0A63F7BB" w14:textId="2D157AA2" w:rsidR="00657F52" w:rsidRDefault="00657F52" w:rsidP="006F58D4">
      <w:pPr>
        <w:rPr>
          <w:rFonts w:ascii="Arial" w:hAnsi="Arial" w:cs="Arial"/>
          <w:b/>
          <w:iCs/>
          <w:sz w:val="24"/>
          <w:szCs w:val="24"/>
        </w:rPr>
      </w:pPr>
      <w:r w:rsidRPr="00657F52">
        <w:rPr>
          <w:rFonts w:ascii="Arial" w:hAnsi="Arial" w:cs="Arial"/>
          <w:b/>
          <w:iCs/>
          <w:sz w:val="24"/>
          <w:szCs w:val="24"/>
        </w:rPr>
        <w:t>Name of the consulting body</w:t>
      </w:r>
    </w:p>
    <w:p w14:paraId="79AC4AC4" w14:textId="77777777" w:rsidR="00657F52" w:rsidRPr="00657F52" w:rsidRDefault="00657F52" w:rsidP="006F58D4">
      <w:pPr>
        <w:rPr>
          <w:rFonts w:ascii="Arial" w:hAnsi="Arial" w:cs="Arial"/>
          <w:b/>
          <w:iCs/>
          <w:sz w:val="24"/>
          <w:szCs w:val="24"/>
        </w:rPr>
      </w:pPr>
    </w:p>
    <w:p w14:paraId="52289226" w14:textId="42645F2D" w:rsidR="0024002B" w:rsidRPr="001377F2" w:rsidRDefault="001377F2" w:rsidP="006F58D4">
      <w:pPr>
        <w:rPr>
          <w:rFonts w:ascii="Arial" w:hAnsi="Arial" w:cs="Arial"/>
          <w:bCs/>
          <w:iCs/>
          <w:sz w:val="24"/>
          <w:szCs w:val="24"/>
        </w:rPr>
      </w:pPr>
      <w:r w:rsidRPr="001377F2">
        <w:rPr>
          <w:rFonts w:ascii="Arial" w:hAnsi="Arial" w:cs="Arial"/>
          <w:bCs/>
          <w:iCs/>
          <w:sz w:val="24"/>
          <w:szCs w:val="24"/>
        </w:rPr>
        <w:t>Scottish Government</w:t>
      </w:r>
    </w:p>
    <w:p w14:paraId="1A90DA9F" w14:textId="77777777" w:rsidR="00031472" w:rsidRDefault="00031472" w:rsidP="006F58D4">
      <w:pPr>
        <w:rPr>
          <w:rFonts w:ascii="Arial" w:hAnsi="Arial" w:cs="Arial"/>
          <w:b/>
          <w:iCs/>
          <w:sz w:val="24"/>
          <w:szCs w:val="24"/>
        </w:rPr>
      </w:pPr>
    </w:p>
    <w:p w14:paraId="38238977" w14:textId="48F6FCE7" w:rsidR="00657F52" w:rsidRDefault="00657F52" w:rsidP="006F58D4">
      <w:pPr>
        <w:rPr>
          <w:rFonts w:ascii="Arial" w:hAnsi="Arial" w:cs="Arial"/>
          <w:b/>
          <w:iCs/>
          <w:sz w:val="24"/>
          <w:szCs w:val="24"/>
        </w:rPr>
      </w:pPr>
      <w:r w:rsidRPr="00657F52">
        <w:rPr>
          <w:rFonts w:ascii="Arial" w:hAnsi="Arial" w:cs="Arial"/>
          <w:b/>
          <w:iCs/>
          <w:sz w:val="24"/>
          <w:szCs w:val="24"/>
        </w:rPr>
        <w:t>Link to consultation</w:t>
      </w:r>
    </w:p>
    <w:p w14:paraId="3355322F" w14:textId="77777777" w:rsidR="00657F52" w:rsidRDefault="00657F52" w:rsidP="006F58D4">
      <w:pPr>
        <w:rPr>
          <w:rFonts w:ascii="Arial" w:hAnsi="Arial" w:cs="Arial"/>
          <w:b/>
          <w:iCs/>
          <w:sz w:val="24"/>
          <w:szCs w:val="24"/>
        </w:rPr>
      </w:pPr>
    </w:p>
    <w:p w14:paraId="5995E25A" w14:textId="5AE9375C" w:rsidR="00031472" w:rsidRPr="00DF4BDA" w:rsidRDefault="003030CE" w:rsidP="006F58D4">
      <w:pPr>
        <w:rPr>
          <w:rFonts w:ascii="Arial" w:hAnsi="Arial" w:cs="Arial"/>
          <w:bCs/>
          <w:iCs/>
          <w:sz w:val="24"/>
          <w:szCs w:val="24"/>
        </w:rPr>
      </w:pPr>
      <w:hyperlink r:id="rId6" w:history="1">
        <w:r w:rsidR="00DF4BDA" w:rsidRPr="004B2278">
          <w:rPr>
            <w:rStyle w:val="Hyperlink"/>
            <w:rFonts w:ascii="Arial" w:hAnsi="Arial" w:cs="Arial"/>
            <w:bCs/>
            <w:iCs/>
            <w:sz w:val="24"/>
            <w:szCs w:val="24"/>
          </w:rPr>
          <w:t>https://consult.gov.scot/learning-directorate/teaching-guidance-for-relationships-sexual-health/</w:t>
        </w:r>
      </w:hyperlink>
      <w:r w:rsidR="00DF4BDA">
        <w:rPr>
          <w:rFonts w:ascii="Arial" w:hAnsi="Arial" w:cs="Arial"/>
          <w:bCs/>
          <w:iCs/>
          <w:sz w:val="24"/>
          <w:szCs w:val="24"/>
        </w:rPr>
        <w:t xml:space="preserve"> </w:t>
      </w:r>
    </w:p>
    <w:p w14:paraId="63AEAE01" w14:textId="77777777" w:rsidR="00031472" w:rsidRDefault="00031472" w:rsidP="006F58D4"/>
    <w:p w14:paraId="465D6D7A" w14:textId="3F564F14" w:rsidR="00657F52" w:rsidRDefault="00657F52" w:rsidP="006F58D4">
      <w:pPr>
        <w:rPr>
          <w:rFonts w:ascii="Arial" w:hAnsi="Arial" w:cs="Arial"/>
          <w:b/>
          <w:iCs/>
          <w:sz w:val="24"/>
          <w:szCs w:val="24"/>
        </w:rPr>
      </w:pPr>
      <w:r w:rsidRPr="00657F52">
        <w:rPr>
          <w:rFonts w:ascii="Arial" w:hAnsi="Arial" w:cs="Arial"/>
          <w:b/>
          <w:iCs/>
          <w:sz w:val="24"/>
          <w:szCs w:val="24"/>
        </w:rPr>
        <w:t xml:space="preserve">Why did the MRC/CSO Social and Public Health Sciences Unit </w:t>
      </w:r>
      <w:r w:rsidR="00DF629C">
        <w:rPr>
          <w:rFonts w:ascii="Arial" w:hAnsi="Arial" w:cs="Arial"/>
          <w:b/>
          <w:iCs/>
          <w:sz w:val="24"/>
          <w:szCs w:val="24"/>
        </w:rPr>
        <w:t>respond</w:t>
      </w:r>
      <w:r w:rsidRPr="00657F52">
        <w:rPr>
          <w:rFonts w:ascii="Arial" w:hAnsi="Arial" w:cs="Arial"/>
          <w:b/>
          <w:iCs/>
          <w:sz w:val="24"/>
          <w:szCs w:val="24"/>
        </w:rPr>
        <w:t xml:space="preserve"> to this consultation?</w:t>
      </w:r>
    </w:p>
    <w:p w14:paraId="79855137" w14:textId="77777777" w:rsidR="00657F52" w:rsidRDefault="00657F52" w:rsidP="006F58D4">
      <w:pPr>
        <w:rPr>
          <w:rFonts w:ascii="Arial" w:hAnsi="Arial" w:cs="Arial"/>
          <w:b/>
          <w:iCs/>
          <w:sz w:val="24"/>
          <w:szCs w:val="24"/>
        </w:rPr>
      </w:pPr>
    </w:p>
    <w:p w14:paraId="3CCD1D49" w14:textId="231B3B43" w:rsidR="00082EC8" w:rsidRPr="00BC775E" w:rsidRDefault="00082EC8" w:rsidP="006F58D4">
      <w:pPr>
        <w:pStyle w:val="TableParagraph"/>
        <w:spacing w:before="2"/>
        <w:ind w:left="0" w:right="128"/>
        <w:rPr>
          <w:rFonts w:asciiTheme="minorBidi" w:hAnsiTheme="minorBidi" w:cstheme="minorBidi"/>
          <w:sz w:val="24"/>
          <w:szCs w:val="24"/>
        </w:rPr>
      </w:pPr>
      <w:r w:rsidRPr="00BC775E">
        <w:rPr>
          <w:rFonts w:asciiTheme="minorBidi" w:hAnsiTheme="minorBidi" w:cstheme="minorBidi"/>
          <w:sz w:val="24"/>
          <w:szCs w:val="24"/>
        </w:rPr>
        <w:t>We conduct high quality research that</w:t>
      </w:r>
      <w:r w:rsidRPr="00BC775E">
        <w:rPr>
          <w:rFonts w:asciiTheme="minorBidi" w:hAnsiTheme="minorBidi" w:cstheme="minorBidi"/>
          <w:spacing w:val="-3"/>
          <w:sz w:val="24"/>
          <w:szCs w:val="24"/>
        </w:rPr>
        <w:t xml:space="preserve"> </w:t>
      </w:r>
      <w:r w:rsidRPr="00BC775E">
        <w:rPr>
          <w:rFonts w:asciiTheme="minorBidi" w:hAnsiTheme="minorBidi" w:cstheme="minorBidi"/>
          <w:sz w:val="24"/>
          <w:szCs w:val="24"/>
        </w:rPr>
        <w:t>has</w:t>
      </w:r>
      <w:r w:rsidRPr="00BC775E">
        <w:rPr>
          <w:rFonts w:asciiTheme="minorBidi" w:hAnsiTheme="minorBidi" w:cstheme="minorBidi"/>
          <w:spacing w:val="-1"/>
          <w:sz w:val="24"/>
          <w:szCs w:val="24"/>
        </w:rPr>
        <w:t xml:space="preserve"> </w:t>
      </w:r>
      <w:r w:rsidRPr="00BC775E">
        <w:rPr>
          <w:rFonts w:asciiTheme="minorBidi" w:hAnsiTheme="minorBidi" w:cstheme="minorBidi"/>
          <w:sz w:val="24"/>
          <w:szCs w:val="24"/>
        </w:rPr>
        <w:t>a</w:t>
      </w:r>
      <w:r w:rsidRPr="00BC775E">
        <w:rPr>
          <w:rFonts w:asciiTheme="minorBidi" w:hAnsiTheme="minorBidi" w:cstheme="minorBidi"/>
          <w:spacing w:val="-4"/>
          <w:sz w:val="24"/>
          <w:szCs w:val="24"/>
        </w:rPr>
        <w:t xml:space="preserve"> </w:t>
      </w:r>
      <w:r w:rsidRPr="00BC775E">
        <w:rPr>
          <w:rFonts w:asciiTheme="minorBidi" w:hAnsiTheme="minorBidi" w:cstheme="minorBidi"/>
          <w:sz w:val="24"/>
          <w:szCs w:val="24"/>
        </w:rPr>
        <w:t>real</w:t>
      </w:r>
      <w:r w:rsidRPr="00BC775E">
        <w:rPr>
          <w:rFonts w:asciiTheme="minorBidi" w:hAnsiTheme="minorBidi" w:cstheme="minorBidi"/>
          <w:spacing w:val="-5"/>
          <w:sz w:val="24"/>
          <w:szCs w:val="24"/>
        </w:rPr>
        <w:t xml:space="preserve"> </w:t>
      </w:r>
      <w:r w:rsidRPr="00BC775E">
        <w:rPr>
          <w:rFonts w:asciiTheme="minorBidi" w:hAnsiTheme="minorBidi" w:cstheme="minorBidi"/>
          <w:sz w:val="24"/>
          <w:szCs w:val="24"/>
        </w:rPr>
        <w:t>impact on</w:t>
      </w:r>
      <w:r w:rsidRPr="00BC775E">
        <w:rPr>
          <w:rFonts w:asciiTheme="minorBidi" w:hAnsiTheme="minorBidi" w:cstheme="minorBidi"/>
          <w:spacing w:val="-4"/>
          <w:sz w:val="24"/>
          <w:szCs w:val="24"/>
        </w:rPr>
        <w:t xml:space="preserve"> </w:t>
      </w:r>
      <w:r w:rsidRPr="00BC775E">
        <w:rPr>
          <w:rFonts w:asciiTheme="minorBidi" w:hAnsiTheme="minorBidi" w:cstheme="minorBidi"/>
          <w:sz w:val="24"/>
          <w:szCs w:val="24"/>
        </w:rPr>
        <w:t>health</w:t>
      </w:r>
      <w:r w:rsidRPr="00BC775E">
        <w:rPr>
          <w:rFonts w:asciiTheme="minorBidi" w:hAnsiTheme="minorBidi" w:cstheme="minorBidi"/>
          <w:spacing w:val="-2"/>
          <w:sz w:val="24"/>
          <w:szCs w:val="24"/>
        </w:rPr>
        <w:t xml:space="preserve"> </w:t>
      </w:r>
      <w:r w:rsidRPr="00BC775E">
        <w:rPr>
          <w:rFonts w:asciiTheme="minorBidi" w:hAnsiTheme="minorBidi" w:cstheme="minorBidi"/>
          <w:sz w:val="24"/>
          <w:szCs w:val="24"/>
        </w:rPr>
        <w:t>and</w:t>
      </w:r>
      <w:r w:rsidRPr="00BC775E">
        <w:rPr>
          <w:rFonts w:asciiTheme="minorBidi" w:hAnsiTheme="minorBidi" w:cstheme="minorBidi"/>
          <w:spacing w:val="-4"/>
          <w:sz w:val="24"/>
          <w:szCs w:val="24"/>
        </w:rPr>
        <w:t xml:space="preserve"> </w:t>
      </w:r>
      <w:r w:rsidRPr="00BC775E">
        <w:rPr>
          <w:rFonts w:asciiTheme="minorBidi" w:hAnsiTheme="minorBidi" w:cstheme="minorBidi"/>
          <w:sz w:val="24"/>
          <w:szCs w:val="24"/>
        </w:rPr>
        <w:t>wellbeing, and</w:t>
      </w:r>
      <w:r w:rsidRPr="00BC775E">
        <w:rPr>
          <w:rFonts w:asciiTheme="minorBidi" w:hAnsiTheme="minorBidi" w:cstheme="minorBidi"/>
          <w:spacing w:val="-2"/>
          <w:sz w:val="24"/>
          <w:szCs w:val="24"/>
        </w:rPr>
        <w:t xml:space="preserve"> </w:t>
      </w:r>
      <w:r w:rsidRPr="00BC775E">
        <w:rPr>
          <w:rFonts w:asciiTheme="minorBidi" w:hAnsiTheme="minorBidi" w:cstheme="minorBidi"/>
          <w:sz w:val="24"/>
          <w:szCs w:val="24"/>
        </w:rPr>
        <w:t>on</w:t>
      </w:r>
      <w:r w:rsidRPr="00BC775E">
        <w:rPr>
          <w:rFonts w:asciiTheme="minorBidi" w:hAnsiTheme="minorBidi" w:cstheme="minorBidi"/>
          <w:spacing w:val="-4"/>
          <w:sz w:val="24"/>
          <w:szCs w:val="24"/>
        </w:rPr>
        <w:t xml:space="preserve"> </w:t>
      </w:r>
      <w:r w:rsidRPr="00BC775E">
        <w:rPr>
          <w:rFonts w:asciiTheme="minorBidi" w:hAnsiTheme="minorBidi" w:cstheme="minorBidi"/>
          <w:sz w:val="24"/>
          <w:szCs w:val="24"/>
        </w:rPr>
        <w:t>reducing</w:t>
      </w:r>
      <w:r w:rsidRPr="00BC775E">
        <w:rPr>
          <w:rFonts w:asciiTheme="minorBidi" w:hAnsiTheme="minorBidi" w:cstheme="minorBidi"/>
          <w:spacing w:val="-2"/>
          <w:sz w:val="24"/>
          <w:szCs w:val="24"/>
        </w:rPr>
        <w:t xml:space="preserve"> </w:t>
      </w:r>
      <w:r w:rsidRPr="00BC775E">
        <w:rPr>
          <w:rFonts w:asciiTheme="minorBidi" w:hAnsiTheme="minorBidi" w:cstheme="minorBidi"/>
          <w:sz w:val="24"/>
          <w:szCs w:val="24"/>
        </w:rPr>
        <w:t>health</w:t>
      </w:r>
      <w:r w:rsidRPr="00BC775E">
        <w:rPr>
          <w:rFonts w:asciiTheme="minorBidi" w:hAnsiTheme="minorBidi" w:cstheme="minorBidi"/>
          <w:spacing w:val="-4"/>
          <w:sz w:val="24"/>
          <w:szCs w:val="24"/>
        </w:rPr>
        <w:t xml:space="preserve"> </w:t>
      </w:r>
      <w:r w:rsidRPr="00BC775E">
        <w:rPr>
          <w:rFonts w:asciiTheme="minorBidi" w:hAnsiTheme="minorBidi" w:cstheme="minorBidi"/>
          <w:sz w:val="24"/>
          <w:szCs w:val="24"/>
        </w:rPr>
        <w:t>inequalities –</w:t>
      </w:r>
      <w:r w:rsidRPr="00BC775E">
        <w:rPr>
          <w:rFonts w:asciiTheme="minorBidi" w:hAnsiTheme="minorBidi" w:cstheme="minorBidi"/>
          <w:spacing w:val="-2"/>
          <w:sz w:val="24"/>
          <w:szCs w:val="24"/>
        </w:rPr>
        <w:t xml:space="preserve"> </w:t>
      </w:r>
      <w:r w:rsidRPr="00BC775E">
        <w:rPr>
          <w:rFonts w:asciiTheme="minorBidi" w:hAnsiTheme="minorBidi" w:cstheme="minorBidi"/>
          <w:sz w:val="24"/>
          <w:szCs w:val="24"/>
        </w:rPr>
        <w:t>both at home and across the globe.</w:t>
      </w:r>
    </w:p>
    <w:p w14:paraId="23E9614C" w14:textId="77777777" w:rsidR="00082EC8" w:rsidRPr="00BC775E" w:rsidRDefault="00082EC8" w:rsidP="006F58D4">
      <w:pPr>
        <w:pStyle w:val="TableParagraph"/>
        <w:spacing w:before="10"/>
        <w:ind w:left="0"/>
        <w:rPr>
          <w:rFonts w:asciiTheme="minorBidi" w:hAnsiTheme="minorBidi" w:cstheme="minorBidi"/>
          <w:b/>
          <w:sz w:val="24"/>
          <w:szCs w:val="24"/>
        </w:rPr>
      </w:pPr>
    </w:p>
    <w:p w14:paraId="16B46876" w14:textId="4B466A0A" w:rsidR="00657F52" w:rsidRPr="00BC775E" w:rsidRDefault="00082EC8" w:rsidP="006F58D4">
      <w:pPr>
        <w:rPr>
          <w:rFonts w:asciiTheme="minorBidi" w:hAnsiTheme="minorBidi" w:cstheme="minorBidi"/>
          <w:b/>
          <w:iCs/>
          <w:sz w:val="24"/>
          <w:szCs w:val="24"/>
        </w:rPr>
      </w:pPr>
      <w:r w:rsidRPr="00BC775E">
        <w:rPr>
          <w:rFonts w:asciiTheme="minorBidi" w:hAnsiTheme="minorBidi" w:cstheme="minorBidi"/>
          <w:sz w:val="24"/>
          <w:szCs w:val="24"/>
        </w:rPr>
        <w:t>We</w:t>
      </w:r>
      <w:r w:rsidRPr="00BC775E">
        <w:rPr>
          <w:rFonts w:asciiTheme="minorBidi" w:hAnsiTheme="minorBidi" w:cstheme="minorBidi"/>
          <w:spacing w:val="-2"/>
          <w:sz w:val="24"/>
          <w:szCs w:val="24"/>
        </w:rPr>
        <w:t xml:space="preserve"> </w:t>
      </w:r>
      <w:r w:rsidRPr="00BC775E">
        <w:rPr>
          <w:rFonts w:asciiTheme="minorBidi" w:hAnsiTheme="minorBidi" w:cstheme="minorBidi"/>
          <w:sz w:val="24"/>
          <w:szCs w:val="24"/>
        </w:rPr>
        <w:t>have</w:t>
      </w:r>
      <w:r w:rsidRPr="00BC775E">
        <w:rPr>
          <w:rFonts w:asciiTheme="minorBidi" w:hAnsiTheme="minorBidi" w:cstheme="minorBidi"/>
          <w:spacing w:val="-5"/>
          <w:sz w:val="24"/>
          <w:szCs w:val="24"/>
        </w:rPr>
        <w:t xml:space="preserve"> </w:t>
      </w:r>
      <w:r w:rsidRPr="00BC775E">
        <w:rPr>
          <w:rFonts w:asciiTheme="minorBidi" w:hAnsiTheme="minorBidi" w:cstheme="minorBidi"/>
          <w:sz w:val="24"/>
          <w:szCs w:val="24"/>
        </w:rPr>
        <w:t>a</w:t>
      </w:r>
      <w:r w:rsidRPr="00BC775E">
        <w:rPr>
          <w:rFonts w:asciiTheme="minorBidi" w:hAnsiTheme="minorBidi" w:cstheme="minorBidi"/>
          <w:spacing w:val="-3"/>
          <w:sz w:val="24"/>
          <w:szCs w:val="24"/>
        </w:rPr>
        <w:t xml:space="preserve"> </w:t>
      </w:r>
      <w:r w:rsidRPr="00BC775E">
        <w:rPr>
          <w:rFonts w:asciiTheme="minorBidi" w:hAnsiTheme="minorBidi" w:cstheme="minorBidi"/>
          <w:sz w:val="24"/>
          <w:szCs w:val="24"/>
        </w:rPr>
        <w:t>particular</w:t>
      </w:r>
      <w:r w:rsidRPr="00BC775E">
        <w:rPr>
          <w:rFonts w:asciiTheme="minorBidi" w:hAnsiTheme="minorBidi" w:cstheme="minorBidi"/>
          <w:spacing w:val="-4"/>
          <w:sz w:val="24"/>
          <w:szCs w:val="24"/>
        </w:rPr>
        <w:t xml:space="preserve"> </w:t>
      </w:r>
      <w:r w:rsidRPr="00BC775E">
        <w:rPr>
          <w:rFonts w:asciiTheme="minorBidi" w:hAnsiTheme="minorBidi" w:cstheme="minorBidi"/>
          <w:sz w:val="24"/>
          <w:szCs w:val="24"/>
        </w:rPr>
        <w:t>focus</w:t>
      </w:r>
      <w:r w:rsidRPr="00BC775E">
        <w:rPr>
          <w:rFonts w:asciiTheme="minorBidi" w:hAnsiTheme="minorBidi" w:cstheme="minorBidi"/>
          <w:spacing w:val="-3"/>
          <w:sz w:val="24"/>
          <w:szCs w:val="24"/>
        </w:rPr>
        <w:t xml:space="preserve"> </w:t>
      </w:r>
      <w:r w:rsidRPr="00BC775E">
        <w:rPr>
          <w:rFonts w:asciiTheme="minorBidi" w:hAnsiTheme="minorBidi" w:cstheme="minorBidi"/>
          <w:sz w:val="24"/>
          <w:szCs w:val="24"/>
        </w:rPr>
        <w:t>on</w:t>
      </w:r>
      <w:r w:rsidRPr="00BC775E">
        <w:rPr>
          <w:rFonts w:asciiTheme="minorBidi" w:hAnsiTheme="minorBidi" w:cstheme="minorBidi"/>
          <w:spacing w:val="-3"/>
          <w:sz w:val="24"/>
          <w:szCs w:val="24"/>
        </w:rPr>
        <w:t xml:space="preserve"> </w:t>
      </w:r>
      <w:r w:rsidRPr="00BC775E">
        <w:rPr>
          <w:rFonts w:asciiTheme="minorBidi" w:hAnsiTheme="minorBidi" w:cstheme="minorBidi"/>
          <w:sz w:val="24"/>
          <w:szCs w:val="24"/>
        </w:rPr>
        <w:t>developing</w:t>
      </w:r>
      <w:r w:rsidRPr="00BC775E">
        <w:rPr>
          <w:rFonts w:asciiTheme="minorBidi" w:hAnsiTheme="minorBidi" w:cstheme="minorBidi"/>
          <w:spacing w:val="-3"/>
          <w:sz w:val="24"/>
          <w:szCs w:val="24"/>
        </w:rPr>
        <w:t xml:space="preserve"> </w:t>
      </w:r>
      <w:r w:rsidRPr="00BC775E">
        <w:rPr>
          <w:rFonts w:asciiTheme="minorBidi" w:hAnsiTheme="minorBidi" w:cstheme="minorBidi"/>
          <w:sz w:val="24"/>
          <w:szCs w:val="24"/>
        </w:rPr>
        <w:t>and</w:t>
      </w:r>
      <w:r w:rsidRPr="00BC775E">
        <w:rPr>
          <w:rFonts w:asciiTheme="minorBidi" w:hAnsiTheme="minorBidi" w:cstheme="minorBidi"/>
          <w:spacing w:val="-5"/>
          <w:sz w:val="24"/>
          <w:szCs w:val="24"/>
        </w:rPr>
        <w:t xml:space="preserve"> </w:t>
      </w:r>
      <w:r w:rsidRPr="00BC775E">
        <w:rPr>
          <w:rFonts w:asciiTheme="minorBidi" w:hAnsiTheme="minorBidi" w:cstheme="minorBidi"/>
          <w:sz w:val="24"/>
          <w:szCs w:val="24"/>
        </w:rPr>
        <w:t>using</w:t>
      </w:r>
      <w:r w:rsidRPr="00BC775E">
        <w:rPr>
          <w:rFonts w:asciiTheme="minorBidi" w:hAnsiTheme="minorBidi" w:cstheme="minorBidi"/>
          <w:spacing w:val="-3"/>
          <w:sz w:val="24"/>
          <w:szCs w:val="24"/>
        </w:rPr>
        <w:t xml:space="preserve"> </w:t>
      </w:r>
      <w:r w:rsidRPr="00BC775E">
        <w:rPr>
          <w:rFonts w:asciiTheme="minorBidi" w:hAnsiTheme="minorBidi" w:cstheme="minorBidi"/>
          <w:sz w:val="24"/>
          <w:szCs w:val="24"/>
        </w:rPr>
        <w:t>cutting-edge</w:t>
      </w:r>
      <w:r w:rsidRPr="00BC775E">
        <w:rPr>
          <w:rFonts w:asciiTheme="minorBidi" w:hAnsiTheme="minorBidi" w:cstheme="minorBidi"/>
          <w:spacing w:val="-5"/>
          <w:sz w:val="24"/>
          <w:szCs w:val="24"/>
        </w:rPr>
        <w:t xml:space="preserve"> </w:t>
      </w:r>
      <w:r w:rsidRPr="00BC775E">
        <w:rPr>
          <w:rFonts w:asciiTheme="minorBidi" w:hAnsiTheme="minorBidi" w:cstheme="minorBidi"/>
          <w:sz w:val="24"/>
          <w:szCs w:val="24"/>
        </w:rPr>
        <w:t>methods</w:t>
      </w:r>
      <w:r w:rsidRPr="00BC775E">
        <w:rPr>
          <w:rFonts w:asciiTheme="minorBidi" w:hAnsiTheme="minorBidi" w:cstheme="minorBidi"/>
          <w:spacing w:val="-5"/>
          <w:sz w:val="24"/>
          <w:szCs w:val="24"/>
        </w:rPr>
        <w:t xml:space="preserve"> </w:t>
      </w:r>
      <w:r w:rsidRPr="00BC775E">
        <w:rPr>
          <w:rFonts w:asciiTheme="minorBidi" w:hAnsiTheme="minorBidi" w:cstheme="minorBidi"/>
          <w:sz w:val="24"/>
          <w:szCs w:val="24"/>
        </w:rPr>
        <w:t>to</w:t>
      </w:r>
      <w:r w:rsidRPr="00BC775E">
        <w:rPr>
          <w:rFonts w:asciiTheme="minorBidi" w:hAnsiTheme="minorBidi" w:cstheme="minorBidi"/>
          <w:spacing w:val="-5"/>
          <w:sz w:val="24"/>
          <w:szCs w:val="24"/>
        </w:rPr>
        <w:t xml:space="preserve"> </w:t>
      </w:r>
      <w:r w:rsidRPr="00BC775E">
        <w:rPr>
          <w:rFonts w:asciiTheme="minorBidi" w:hAnsiTheme="minorBidi" w:cstheme="minorBidi"/>
          <w:sz w:val="24"/>
          <w:szCs w:val="24"/>
        </w:rPr>
        <w:t xml:space="preserve">understand how social, behavioural, economic, </w:t>
      </w:r>
      <w:proofErr w:type="gramStart"/>
      <w:r w:rsidRPr="00BC775E">
        <w:rPr>
          <w:rFonts w:asciiTheme="minorBidi" w:hAnsiTheme="minorBidi" w:cstheme="minorBidi"/>
          <w:sz w:val="24"/>
          <w:szCs w:val="24"/>
        </w:rPr>
        <w:t>political</w:t>
      </w:r>
      <w:proofErr w:type="gramEnd"/>
      <w:r w:rsidRPr="00BC775E">
        <w:rPr>
          <w:rFonts w:asciiTheme="minorBidi" w:hAnsiTheme="minorBidi" w:cstheme="minorBidi"/>
          <w:sz w:val="24"/>
          <w:szCs w:val="24"/>
        </w:rPr>
        <w:t xml:space="preserve"> and environmental factors influence health. We work with decision makers, </w:t>
      </w:r>
      <w:proofErr w:type="gramStart"/>
      <w:r w:rsidRPr="00BC775E">
        <w:rPr>
          <w:rFonts w:asciiTheme="minorBidi" w:hAnsiTheme="minorBidi" w:cstheme="minorBidi"/>
          <w:sz w:val="24"/>
          <w:szCs w:val="24"/>
        </w:rPr>
        <w:t>practitioners</w:t>
      </w:r>
      <w:proofErr w:type="gramEnd"/>
      <w:r w:rsidRPr="00BC775E">
        <w:rPr>
          <w:rFonts w:asciiTheme="minorBidi" w:hAnsiTheme="minorBidi" w:cstheme="minorBidi"/>
          <w:sz w:val="24"/>
          <w:szCs w:val="24"/>
        </w:rPr>
        <w:t xml:space="preserve"> and the public to identify interventions and policies that can have an effective and sustained impact on health and wellbeing, particularly among those most in need.</w:t>
      </w:r>
    </w:p>
    <w:p w14:paraId="10004066" w14:textId="77777777" w:rsidR="00082EC8" w:rsidRDefault="00082EC8" w:rsidP="006F58D4">
      <w:pPr>
        <w:rPr>
          <w:rFonts w:ascii="Arial" w:hAnsi="Arial" w:cs="Arial"/>
          <w:b/>
          <w:iCs/>
          <w:sz w:val="24"/>
          <w:szCs w:val="24"/>
        </w:rPr>
      </w:pPr>
    </w:p>
    <w:p w14:paraId="5A0BF95F" w14:textId="77777777" w:rsidR="00DF0360" w:rsidRDefault="00657F52" w:rsidP="006F58D4">
      <w:pPr>
        <w:rPr>
          <w:rFonts w:ascii="Arial" w:hAnsi="Arial" w:cs="Arial"/>
          <w:b/>
          <w:iCs/>
          <w:sz w:val="24"/>
          <w:szCs w:val="24"/>
        </w:rPr>
      </w:pPr>
      <w:r w:rsidRPr="00657F52">
        <w:rPr>
          <w:rFonts w:ascii="Arial" w:hAnsi="Arial" w:cs="Arial"/>
          <w:b/>
          <w:iCs/>
          <w:sz w:val="24"/>
          <w:szCs w:val="24"/>
        </w:rPr>
        <w:t>Our response</w:t>
      </w:r>
    </w:p>
    <w:p w14:paraId="4D568F5F" w14:textId="77777777" w:rsidR="00DF0360" w:rsidRDefault="00DF0360" w:rsidP="006F58D4">
      <w:pPr>
        <w:rPr>
          <w:rFonts w:ascii="Arial" w:hAnsi="Arial" w:cs="Arial"/>
          <w:b/>
          <w:iCs/>
          <w:sz w:val="24"/>
          <w:szCs w:val="24"/>
        </w:rPr>
      </w:pPr>
    </w:p>
    <w:p w14:paraId="67DE0F92" w14:textId="69CFB6FF" w:rsidR="001377F2" w:rsidRPr="00DF4BDA" w:rsidRDefault="001377F2" w:rsidP="006F58D4">
      <w:pPr>
        <w:pStyle w:val="Heading2"/>
        <w:rPr>
          <w:rFonts w:asciiTheme="minorBidi" w:eastAsiaTheme="minorEastAsia" w:hAnsiTheme="minorBidi" w:cstheme="minorBidi"/>
          <w:b/>
          <w:bCs/>
          <w:color w:val="auto"/>
          <w:sz w:val="24"/>
          <w:szCs w:val="24"/>
        </w:rPr>
      </w:pPr>
      <w:r w:rsidRPr="00DF4BDA">
        <w:rPr>
          <w:rFonts w:asciiTheme="minorBidi" w:eastAsiaTheme="minorEastAsia" w:hAnsiTheme="minorBidi" w:cstheme="minorBidi"/>
          <w:b/>
          <w:bCs/>
          <w:color w:val="auto"/>
          <w:sz w:val="24"/>
          <w:szCs w:val="24"/>
        </w:rPr>
        <w:t>Question 1: Introduction</w:t>
      </w:r>
    </w:p>
    <w:p w14:paraId="4D085451" w14:textId="65CFA3E7" w:rsidR="001377F2" w:rsidRPr="00DF4BDA" w:rsidRDefault="001377F2" w:rsidP="006F58D4">
      <w:pPr>
        <w:pStyle w:val="Heading3"/>
        <w:numPr>
          <w:ilvl w:val="0"/>
          <w:numId w:val="15"/>
        </w:numPr>
        <w:rPr>
          <w:rFonts w:asciiTheme="minorBidi" w:eastAsiaTheme="minorEastAsia" w:hAnsiTheme="minorBidi" w:cstheme="minorBidi"/>
          <w:color w:val="auto"/>
        </w:rPr>
      </w:pPr>
      <w:r w:rsidRPr="00DF4BDA">
        <w:rPr>
          <w:rFonts w:asciiTheme="minorBidi" w:eastAsiaTheme="minorEastAsia" w:hAnsiTheme="minorBidi" w:cstheme="minorBidi"/>
          <w:color w:val="auto"/>
        </w:rPr>
        <w:t xml:space="preserve">Is the draft introduction clear on the status and application of the guidance? </w:t>
      </w:r>
      <w:r w:rsidR="00BC775E" w:rsidRPr="00BC775E">
        <w:rPr>
          <w:rFonts w:asciiTheme="minorBidi" w:eastAsiaTheme="minorEastAsia" w:hAnsiTheme="minorBidi" w:cstheme="minorBidi"/>
          <w:color w:val="auto"/>
          <w:highlight w:val="yellow"/>
        </w:rPr>
        <w:t>No</w:t>
      </w:r>
    </w:p>
    <w:p w14:paraId="7618E171" w14:textId="77777777" w:rsidR="001377F2" w:rsidRPr="00DF4BDA" w:rsidRDefault="001377F2" w:rsidP="006F58D4">
      <w:pPr>
        <w:rPr>
          <w:rFonts w:asciiTheme="minorBidi" w:hAnsiTheme="minorBidi" w:cstheme="minorBidi"/>
          <w:sz w:val="24"/>
          <w:szCs w:val="24"/>
        </w:rPr>
      </w:pPr>
    </w:p>
    <w:p w14:paraId="338DA104" w14:textId="77777777"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The guidance could be clearer in how to manage conflict between 1.6: Parents and carers have the right to have their children educated in conformity with their own religious and philosophical convictions and 1.9 UNRC: for the best interests of the child to be primary consideration / for the right of children and young people to express a view and have that view </w:t>
      </w:r>
      <w:proofErr w:type="gramStart"/>
      <w:r w:rsidRPr="00DF4BDA">
        <w:rPr>
          <w:rFonts w:asciiTheme="minorBidi" w:hAnsiTheme="minorBidi" w:cstheme="minorBidi"/>
          <w:sz w:val="24"/>
          <w:szCs w:val="24"/>
        </w:rPr>
        <w:t>taken into account</w:t>
      </w:r>
      <w:proofErr w:type="gramEnd"/>
      <w:r w:rsidRPr="00DF4BDA">
        <w:rPr>
          <w:rFonts w:asciiTheme="minorBidi" w:hAnsiTheme="minorBidi" w:cstheme="minorBidi"/>
          <w:sz w:val="24"/>
          <w:szCs w:val="24"/>
        </w:rPr>
        <w:t xml:space="preserve">. </w:t>
      </w:r>
    </w:p>
    <w:p w14:paraId="4CE97D2B" w14:textId="77777777" w:rsidR="00BC775E" w:rsidRPr="00DF4BDA" w:rsidRDefault="00BC775E" w:rsidP="006F58D4">
      <w:pPr>
        <w:rPr>
          <w:rFonts w:asciiTheme="minorBidi" w:hAnsiTheme="minorBidi" w:cstheme="minorBidi"/>
          <w:sz w:val="24"/>
          <w:szCs w:val="24"/>
        </w:rPr>
      </w:pPr>
    </w:p>
    <w:p w14:paraId="5B66DEC2" w14:textId="77777777"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1.6 The guidance that “teachers should work closely with parents in its delivery, by discussing proposed lessons and resources with them in advance” may not be realistic. Evidence indicates parental engagement with schools regarding RSHP is </w:t>
      </w:r>
      <w:r w:rsidRPr="00DF4BDA">
        <w:rPr>
          <w:rFonts w:asciiTheme="minorBidi" w:hAnsiTheme="minorBidi" w:cstheme="minorBidi"/>
          <w:sz w:val="24"/>
          <w:szCs w:val="24"/>
        </w:rPr>
        <w:lastRenderedPageBreak/>
        <w:t xml:space="preserve">generally very low. In a UK-wide trial of a school-based pregnancy prevention and sexual health promotion intervention (the “If I Were Jack” resource), when schools contacted parents (n=4097) by email asking them to complete a brief survey on their perceptions of a short video that would be shown in RSHP lessons in their child’s school, only 3% of parents responded (Lohan </w:t>
      </w:r>
      <w:r w:rsidRPr="00DF4BDA">
        <w:rPr>
          <w:rFonts w:asciiTheme="minorBidi" w:hAnsiTheme="minorBidi" w:cstheme="minorBidi"/>
          <w:i/>
          <w:iCs/>
          <w:sz w:val="24"/>
          <w:szCs w:val="24"/>
        </w:rPr>
        <w:t>et al.</w:t>
      </w:r>
      <w:r w:rsidRPr="00DF4BDA">
        <w:rPr>
          <w:rFonts w:asciiTheme="minorBidi" w:hAnsiTheme="minorBidi" w:cstheme="minorBidi"/>
          <w:sz w:val="24"/>
          <w:szCs w:val="24"/>
        </w:rPr>
        <w:t>, 2023). While teachers should notify parents of content in advance of teaching sensitive RSHP topics, “working closely” with parents may not always be feasible.</w:t>
      </w:r>
    </w:p>
    <w:p w14:paraId="548E93AB" w14:textId="77777777" w:rsidR="00BC775E" w:rsidRPr="00DF4BDA" w:rsidRDefault="00BC775E" w:rsidP="006F58D4">
      <w:pPr>
        <w:rPr>
          <w:rFonts w:asciiTheme="minorBidi" w:hAnsiTheme="minorBidi" w:cstheme="minorBidi"/>
          <w:sz w:val="24"/>
          <w:szCs w:val="24"/>
        </w:rPr>
      </w:pPr>
    </w:p>
    <w:p w14:paraId="147C9D2F" w14:textId="77777777"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1.10: Children have a right to privacy, safety, </w:t>
      </w:r>
      <w:proofErr w:type="gramStart"/>
      <w:r w:rsidRPr="00DF4BDA">
        <w:rPr>
          <w:rFonts w:asciiTheme="minorBidi" w:hAnsiTheme="minorBidi" w:cstheme="minorBidi"/>
          <w:sz w:val="24"/>
          <w:szCs w:val="24"/>
        </w:rPr>
        <w:t>dignity</w:t>
      </w:r>
      <w:proofErr w:type="gramEnd"/>
      <w:r w:rsidRPr="00DF4BDA">
        <w:rPr>
          <w:rFonts w:asciiTheme="minorBidi" w:hAnsiTheme="minorBidi" w:cstheme="minorBidi"/>
          <w:sz w:val="24"/>
          <w:szCs w:val="24"/>
        </w:rPr>
        <w:t xml:space="preserve"> and respect. In line with </w:t>
      </w:r>
      <w:proofErr w:type="gramStart"/>
      <w:r w:rsidRPr="00DF4BDA">
        <w:rPr>
          <w:rFonts w:asciiTheme="minorBidi" w:hAnsiTheme="minorBidi" w:cstheme="minorBidi"/>
          <w:sz w:val="24"/>
          <w:szCs w:val="24"/>
        </w:rPr>
        <w:t>Getting</w:t>
      </w:r>
      <w:proofErr w:type="gramEnd"/>
      <w:r w:rsidRPr="00DF4BDA">
        <w:rPr>
          <w:rFonts w:asciiTheme="minorBidi" w:hAnsiTheme="minorBidi" w:cstheme="minorBidi"/>
          <w:sz w:val="24"/>
          <w:szCs w:val="24"/>
        </w:rPr>
        <w:t xml:space="preserve"> It Right For Every Child, children and young people should be central to decision-making. The guidance could be clearer on how children and young people (CYP) can be involved in developing the guidance, with reference to key recommendations for conducting meaningful involvement of young people in decision-making relating to sexual health policy and practice (Lewis </w:t>
      </w:r>
      <w:r w:rsidRPr="00DF4BDA">
        <w:rPr>
          <w:rFonts w:asciiTheme="minorBidi" w:hAnsiTheme="minorBidi" w:cstheme="minorBidi"/>
          <w:i/>
          <w:iCs/>
          <w:sz w:val="24"/>
          <w:szCs w:val="24"/>
        </w:rPr>
        <w:t>et al.</w:t>
      </w:r>
      <w:r w:rsidRPr="00DF4BDA">
        <w:rPr>
          <w:rFonts w:asciiTheme="minorBidi" w:hAnsiTheme="minorBidi" w:cstheme="minorBidi"/>
          <w:sz w:val="24"/>
          <w:szCs w:val="24"/>
        </w:rPr>
        <w:t xml:space="preserve">, 2023). For instance, efforts to involve CYP must consider how to include CYP with a range of different perspectives, how to address power dynamics between adults and CYP, and how to protect CYP in these processes. </w:t>
      </w:r>
    </w:p>
    <w:p w14:paraId="04CD4A2F" w14:textId="77777777" w:rsidR="00BC775E" w:rsidRPr="00DF4BDA" w:rsidRDefault="00BC775E" w:rsidP="006F58D4">
      <w:pPr>
        <w:rPr>
          <w:rFonts w:asciiTheme="minorBidi" w:hAnsiTheme="minorBidi" w:cstheme="minorBidi"/>
          <w:sz w:val="24"/>
          <w:szCs w:val="24"/>
        </w:rPr>
      </w:pPr>
    </w:p>
    <w:p w14:paraId="0BA6CC59" w14:textId="771526C2"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Guidance could also be clearer on school’s role in protecting CYP’s privacy, dignity and respect when supporting young people who wish to change gender identity/ name/pronouns.</w:t>
      </w:r>
    </w:p>
    <w:p w14:paraId="6C7AFA10" w14:textId="77777777" w:rsidR="00BC775E" w:rsidRPr="00DF4BDA" w:rsidRDefault="00BC775E" w:rsidP="006F58D4">
      <w:pPr>
        <w:rPr>
          <w:rFonts w:asciiTheme="minorBidi" w:hAnsiTheme="minorBidi" w:cstheme="minorBidi"/>
          <w:sz w:val="24"/>
          <w:szCs w:val="24"/>
        </w:rPr>
      </w:pPr>
    </w:p>
    <w:p w14:paraId="18FA359F" w14:textId="40BABFBC"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This is probably assumed</w:t>
      </w:r>
      <w:r w:rsidR="00345CE1">
        <w:rPr>
          <w:rFonts w:asciiTheme="minorBidi" w:hAnsiTheme="minorBidi" w:cstheme="minorBidi"/>
          <w:sz w:val="24"/>
          <w:szCs w:val="24"/>
        </w:rPr>
        <w:t>,</w:t>
      </w:r>
      <w:r w:rsidRPr="00DF4BDA">
        <w:rPr>
          <w:rFonts w:asciiTheme="minorBidi" w:hAnsiTheme="minorBidi" w:cstheme="minorBidi"/>
          <w:sz w:val="24"/>
          <w:szCs w:val="24"/>
        </w:rPr>
        <w:t xml:space="preserve"> but guidance could make it clear that all students should receive RSHP education together not split by male/femal</w:t>
      </w:r>
      <w:r w:rsidR="00BC775E">
        <w:rPr>
          <w:rFonts w:asciiTheme="minorBidi" w:hAnsiTheme="minorBidi" w:cstheme="minorBidi"/>
          <w:sz w:val="24"/>
          <w:szCs w:val="24"/>
        </w:rPr>
        <w:t>e/s</w:t>
      </w:r>
      <w:r w:rsidRPr="00DF4BDA">
        <w:rPr>
          <w:rFonts w:asciiTheme="minorBidi" w:hAnsiTheme="minorBidi" w:cstheme="minorBidi"/>
          <w:sz w:val="24"/>
          <w:szCs w:val="24"/>
        </w:rPr>
        <w:t>pecial topics e.g. menstruation</w:t>
      </w:r>
      <w:r w:rsidR="00BC775E">
        <w:rPr>
          <w:rFonts w:asciiTheme="minorBidi" w:hAnsiTheme="minorBidi" w:cstheme="minorBidi"/>
          <w:sz w:val="24"/>
          <w:szCs w:val="24"/>
        </w:rPr>
        <w:t>.</w:t>
      </w:r>
    </w:p>
    <w:p w14:paraId="76478387" w14:textId="77777777" w:rsidR="00BC775E" w:rsidRPr="00DF4BDA" w:rsidRDefault="00BC775E" w:rsidP="006F58D4">
      <w:pPr>
        <w:rPr>
          <w:rFonts w:asciiTheme="minorBidi" w:hAnsiTheme="minorBidi" w:cstheme="minorBidi"/>
          <w:sz w:val="24"/>
          <w:szCs w:val="24"/>
        </w:rPr>
      </w:pPr>
    </w:p>
    <w:p w14:paraId="51E7CC95" w14:textId="77777777" w:rsidR="001377F2" w:rsidRPr="00DF4BDA"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Gender inclusive education: whole school guidance – as with gender stereotypes, are heteronormative assumptions about relationships to be challenged across curriculum? </w:t>
      </w:r>
    </w:p>
    <w:p w14:paraId="76E1A487" w14:textId="77777777" w:rsidR="001377F2" w:rsidRPr="00DF4BDA" w:rsidRDefault="001377F2" w:rsidP="006F58D4">
      <w:pPr>
        <w:rPr>
          <w:rFonts w:asciiTheme="minorBidi" w:hAnsiTheme="minorBidi" w:cstheme="minorBidi"/>
          <w:b/>
          <w:bCs/>
          <w:sz w:val="24"/>
          <w:szCs w:val="24"/>
        </w:rPr>
      </w:pPr>
    </w:p>
    <w:p w14:paraId="44A05655" w14:textId="1A9A735D" w:rsidR="001377F2" w:rsidRPr="00DF4BDA" w:rsidRDefault="001377F2" w:rsidP="006F58D4">
      <w:pPr>
        <w:rPr>
          <w:rFonts w:asciiTheme="minorBidi" w:hAnsiTheme="minorBidi" w:cstheme="minorBidi"/>
          <w:b/>
          <w:bCs/>
          <w:sz w:val="24"/>
          <w:szCs w:val="24"/>
        </w:rPr>
      </w:pPr>
      <w:r w:rsidRPr="00DF4BDA">
        <w:rPr>
          <w:rFonts w:asciiTheme="minorBidi" w:hAnsiTheme="minorBidi" w:cstheme="minorBidi"/>
          <w:b/>
          <w:bCs/>
          <w:sz w:val="24"/>
          <w:szCs w:val="24"/>
        </w:rPr>
        <w:t>References</w:t>
      </w:r>
    </w:p>
    <w:p w14:paraId="655EA566" w14:textId="77777777" w:rsidR="001377F2" w:rsidRPr="00DF4BDA" w:rsidRDefault="001377F2" w:rsidP="006F58D4">
      <w:pPr>
        <w:rPr>
          <w:rFonts w:asciiTheme="minorBidi" w:eastAsia="Lato" w:hAnsiTheme="minorBidi" w:cstheme="minorBidi"/>
          <w:sz w:val="24"/>
          <w:szCs w:val="24"/>
        </w:rPr>
      </w:pPr>
    </w:p>
    <w:p w14:paraId="561CCB6D" w14:textId="323CE65F" w:rsidR="001377F2" w:rsidRPr="00345CE1" w:rsidRDefault="001377F2" w:rsidP="006F58D4">
      <w:pPr>
        <w:rPr>
          <w:rFonts w:asciiTheme="minorBidi" w:eastAsia="Lato" w:hAnsiTheme="minorBidi" w:cstheme="minorBidi"/>
        </w:rPr>
      </w:pPr>
      <w:r w:rsidRPr="00345CE1">
        <w:rPr>
          <w:rFonts w:asciiTheme="minorBidi" w:eastAsia="Lato" w:hAnsiTheme="minorBidi" w:cstheme="minorBidi"/>
        </w:rPr>
        <w:t xml:space="preserve">Lohan M, Gillespie K, Aventin A, Gough A, Warren E, Lewis R, </w:t>
      </w:r>
      <w:r w:rsidRPr="00345CE1">
        <w:rPr>
          <w:rFonts w:asciiTheme="minorBidi" w:eastAsia="Lato" w:hAnsiTheme="minorBidi" w:cstheme="minorBidi"/>
          <w:i/>
          <w:iCs/>
        </w:rPr>
        <w:t>et al.</w:t>
      </w:r>
      <w:r w:rsidRPr="00345CE1">
        <w:rPr>
          <w:rFonts w:asciiTheme="minorBidi" w:eastAsia="Lato" w:hAnsiTheme="minorBidi" w:cstheme="minorBidi"/>
        </w:rPr>
        <w:t xml:space="preserve"> School-based </w:t>
      </w:r>
      <w:proofErr w:type="gramStart"/>
      <w:r w:rsidRPr="00345CE1">
        <w:rPr>
          <w:rFonts w:asciiTheme="minorBidi" w:eastAsia="Lato" w:hAnsiTheme="minorBidi" w:cstheme="minorBidi"/>
        </w:rPr>
        <w:t>relationship</w:t>
      </w:r>
      <w:proofErr w:type="gramEnd"/>
      <w:r w:rsidRPr="00345CE1">
        <w:rPr>
          <w:rFonts w:asciiTheme="minorBidi" w:eastAsia="Lato" w:hAnsiTheme="minorBidi" w:cstheme="minorBidi"/>
        </w:rPr>
        <w:t xml:space="preserve"> and sexuality education intervention engaging adolescent boys for the reductions of teenage pregnancy: the JACK cluster RCT. </w:t>
      </w:r>
      <w:r w:rsidRPr="00345CE1">
        <w:rPr>
          <w:rFonts w:asciiTheme="minorBidi" w:eastAsia="Lato" w:hAnsiTheme="minorBidi" w:cstheme="minorBidi"/>
          <w:i/>
          <w:iCs/>
        </w:rPr>
        <w:t>Public Health Res</w:t>
      </w:r>
      <w:r w:rsidRPr="00345CE1">
        <w:rPr>
          <w:rFonts w:asciiTheme="minorBidi" w:eastAsia="Lato" w:hAnsiTheme="minorBidi" w:cstheme="minorBidi"/>
        </w:rPr>
        <w:t xml:space="preserve"> 2023;11(8)</w:t>
      </w:r>
    </w:p>
    <w:p w14:paraId="2C7C28FB" w14:textId="77777777" w:rsidR="001377F2" w:rsidRPr="00345CE1" w:rsidRDefault="001377F2" w:rsidP="006F58D4">
      <w:pPr>
        <w:shd w:val="clear" w:color="auto" w:fill="FFFFFF" w:themeFill="background1"/>
        <w:rPr>
          <w:rFonts w:asciiTheme="minorBidi" w:eastAsia="Times New Roman" w:hAnsiTheme="minorBidi" w:cstheme="minorBidi"/>
        </w:rPr>
      </w:pPr>
    </w:p>
    <w:p w14:paraId="29B4F88E" w14:textId="4971C415" w:rsidR="001377F2" w:rsidRPr="00345CE1" w:rsidRDefault="001377F2" w:rsidP="006F58D4">
      <w:pPr>
        <w:shd w:val="clear" w:color="auto" w:fill="FFFFFF" w:themeFill="background1"/>
        <w:rPr>
          <w:rFonts w:asciiTheme="minorBidi" w:eastAsia="Times New Roman" w:hAnsiTheme="minorBidi" w:cstheme="minorBidi"/>
        </w:rPr>
      </w:pPr>
      <w:r w:rsidRPr="003030CE">
        <w:rPr>
          <w:rFonts w:asciiTheme="minorBidi" w:eastAsia="Times New Roman" w:hAnsiTheme="minorBidi" w:cstheme="minorBidi"/>
          <w:lang w:val="da-DK"/>
        </w:rPr>
        <w:t>Lewis R, Boydell N, Blake C</w:t>
      </w:r>
      <w:r w:rsidRPr="003030CE">
        <w:rPr>
          <w:rFonts w:asciiTheme="minorBidi" w:eastAsia="Times New Roman" w:hAnsiTheme="minorBidi" w:cstheme="minorBidi"/>
          <w:i/>
          <w:iCs/>
          <w:lang w:val="da-DK"/>
        </w:rPr>
        <w:t>, et al.</w:t>
      </w:r>
      <w:r w:rsidRPr="003030CE">
        <w:rPr>
          <w:rFonts w:asciiTheme="minorBidi" w:eastAsia="Times New Roman" w:hAnsiTheme="minorBidi" w:cstheme="minorBidi"/>
          <w:lang w:val="da-DK"/>
        </w:rPr>
        <w:t xml:space="preserve"> </w:t>
      </w:r>
      <w:r w:rsidRPr="00345CE1">
        <w:rPr>
          <w:rFonts w:asciiTheme="minorBidi" w:eastAsia="Times New Roman" w:hAnsiTheme="minorBidi" w:cstheme="minorBidi"/>
        </w:rPr>
        <w:t xml:space="preserve">Involving young people in sexual health research and service improvement: conceptual analysis of patient and public involvement (PPI) in three projects. </w:t>
      </w:r>
      <w:r w:rsidRPr="00345CE1">
        <w:rPr>
          <w:rFonts w:asciiTheme="minorBidi" w:eastAsia="Times New Roman" w:hAnsiTheme="minorBidi" w:cstheme="minorBidi"/>
          <w:i/>
          <w:iCs/>
        </w:rPr>
        <w:t>BMJ Sexual &amp; Reproductive Health </w:t>
      </w:r>
      <w:proofErr w:type="gramStart"/>
      <w:r w:rsidRPr="00345CE1">
        <w:rPr>
          <w:rFonts w:asciiTheme="minorBidi" w:eastAsia="Times New Roman" w:hAnsiTheme="minorBidi" w:cstheme="minorBidi"/>
        </w:rPr>
        <w:t>2023;</w:t>
      </w:r>
      <w:r w:rsidRPr="00345CE1">
        <w:rPr>
          <w:rFonts w:asciiTheme="minorBidi" w:eastAsia="Times New Roman" w:hAnsiTheme="minorBidi" w:cstheme="minorBidi"/>
          <w:b/>
          <w:bCs/>
        </w:rPr>
        <w:t>49:</w:t>
      </w:r>
      <w:r w:rsidRPr="00345CE1">
        <w:rPr>
          <w:rFonts w:asciiTheme="minorBidi" w:eastAsia="Times New Roman" w:hAnsiTheme="minorBidi" w:cstheme="minorBidi"/>
        </w:rPr>
        <w:t>76</w:t>
      </w:r>
      <w:proofErr w:type="gramEnd"/>
      <w:r w:rsidRPr="00345CE1">
        <w:rPr>
          <w:rFonts w:asciiTheme="minorBidi" w:eastAsia="Times New Roman" w:hAnsiTheme="minorBidi" w:cstheme="minorBidi"/>
        </w:rPr>
        <w:t>-8</w:t>
      </w:r>
    </w:p>
    <w:p w14:paraId="1EB01EE7" w14:textId="77777777" w:rsidR="001377F2" w:rsidRPr="00345CE1" w:rsidRDefault="001377F2" w:rsidP="006F58D4">
      <w:pPr>
        <w:shd w:val="clear" w:color="auto" w:fill="FFFFFF" w:themeFill="background1"/>
        <w:rPr>
          <w:rFonts w:asciiTheme="minorBidi" w:eastAsia="Times New Roman" w:hAnsiTheme="minorBidi" w:cstheme="minorBidi"/>
        </w:rPr>
      </w:pPr>
    </w:p>
    <w:p w14:paraId="659E4A0D" w14:textId="77777777" w:rsidR="001377F2" w:rsidRPr="00345CE1" w:rsidRDefault="001377F2" w:rsidP="006F58D4">
      <w:pPr>
        <w:rPr>
          <w:rFonts w:asciiTheme="minorBidi" w:hAnsiTheme="minorBidi" w:cstheme="minorBidi"/>
        </w:rPr>
      </w:pPr>
      <w:r w:rsidRPr="00345CE1">
        <w:rPr>
          <w:rFonts w:asciiTheme="minorBidi" w:hAnsiTheme="minorBidi" w:cstheme="minorBidi"/>
          <w:shd w:val="clear" w:color="auto" w:fill="FFFFFF"/>
        </w:rPr>
        <w:t>Aventin, Á., Gough, A., McShane, T. </w:t>
      </w:r>
      <w:r w:rsidRPr="00345CE1">
        <w:rPr>
          <w:rFonts w:asciiTheme="minorBidi" w:hAnsiTheme="minorBidi" w:cstheme="minorBidi"/>
          <w:i/>
          <w:iCs/>
          <w:shd w:val="clear" w:color="auto" w:fill="FFFFFF"/>
        </w:rPr>
        <w:t>et al.</w:t>
      </w:r>
      <w:r w:rsidRPr="00345CE1">
        <w:rPr>
          <w:rFonts w:asciiTheme="minorBidi" w:hAnsiTheme="minorBidi" w:cstheme="minorBidi"/>
          <w:shd w:val="clear" w:color="auto" w:fill="FFFFFF"/>
        </w:rPr>
        <w:t> Engaging parents in digital sexual and reproductive health education: evidence from the JACK trial. </w:t>
      </w:r>
      <w:proofErr w:type="spellStart"/>
      <w:r w:rsidRPr="00345CE1">
        <w:rPr>
          <w:rFonts w:asciiTheme="minorBidi" w:hAnsiTheme="minorBidi" w:cstheme="minorBidi"/>
          <w:i/>
          <w:iCs/>
          <w:shd w:val="clear" w:color="auto" w:fill="FFFFFF"/>
        </w:rPr>
        <w:t>Reprod</w:t>
      </w:r>
      <w:proofErr w:type="spellEnd"/>
      <w:r w:rsidRPr="00345CE1">
        <w:rPr>
          <w:rFonts w:asciiTheme="minorBidi" w:hAnsiTheme="minorBidi" w:cstheme="minorBidi"/>
          <w:i/>
          <w:iCs/>
          <w:shd w:val="clear" w:color="auto" w:fill="FFFFFF"/>
        </w:rPr>
        <w:t xml:space="preserve"> Health</w:t>
      </w:r>
      <w:r w:rsidRPr="00345CE1">
        <w:rPr>
          <w:rFonts w:asciiTheme="minorBidi" w:hAnsiTheme="minorBidi" w:cstheme="minorBidi"/>
          <w:shd w:val="clear" w:color="auto" w:fill="FFFFFF"/>
        </w:rPr>
        <w:t> </w:t>
      </w:r>
      <w:r w:rsidRPr="00345CE1">
        <w:rPr>
          <w:rFonts w:asciiTheme="minorBidi" w:hAnsiTheme="minorBidi" w:cstheme="minorBidi"/>
          <w:b/>
          <w:bCs/>
          <w:shd w:val="clear" w:color="auto" w:fill="FFFFFF"/>
        </w:rPr>
        <w:t>17</w:t>
      </w:r>
      <w:r w:rsidRPr="00345CE1">
        <w:rPr>
          <w:rFonts w:asciiTheme="minorBidi" w:hAnsiTheme="minorBidi" w:cstheme="minorBidi"/>
          <w:shd w:val="clear" w:color="auto" w:fill="FFFFFF"/>
        </w:rPr>
        <w:t>, 132 (2020). https://doi.org/10.1186/s12978-020-00975-y</w:t>
      </w:r>
    </w:p>
    <w:p w14:paraId="426D9E7E" w14:textId="77777777" w:rsidR="006F58D4" w:rsidRDefault="006F58D4" w:rsidP="006F58D4">
      <w:pPr>
        <w:pStyle w:val="Heading2"/>
        <w:rPr>
          <w:rFonts w:asciiTheme="minorBidi" w:eastAsiaTheme="minorEastAsia" w:hAnsiTheme="minorBidi" w:cstheme="minorBidi"/>
          <w:b/>
          <w:bCs/>
          <w:color w:val="auto"/>
          <w:sz w:val="24"/>
          <w:szCs w:val="24"/>
        </w:rPr>
      </w:pPr>
    </w:p>
    <w:p w14:paraId="58A35D15" w14:textId="4FBA8ADA" w:rsidR="001377F2" w:rsidRDefault="001377F2" w:rsidP="006F58D4">
      <w:pPr>
        <w:pStyle w:val="Heading2"/>
        <w:rPr>
          <w:rFonts w:asciiTheme="minorBidi" w:eastAsiaTheme="minorEastAsia" w:hAnsiTheme="minorBidi" w:cstheme="minorBidi"/>
          <w:b/>
          <w:bCs/>
          <w:color w:val="auto"/>
          <w:sz w:val="24"/>
          <w:szCs w:val="24"/>
        </w:rPr>
      </w:pPr>
      <w:r w:rsidRPr="00DF4BDA">
        <w:rPr>
          <w:rFonts w:asciiTheme="minorBidi" w:eastAsiaTheme="minorEastAsia" w:hAnsiTheme="minorBidi" w:cstheme="minorBidi"/>
          <w:b/>
          <w:bCs/>
          <w:color w:val="auto"/>
          <w:sz w:val="24"/>
          <w:szCs w:val="24"/>
        </w:rPr>
        <w:t>Question 3: Parental engagement and ability to withdraw from RSHP </w:t>
      </w:r>
      <w:proofErr w:type="gramStart"/>
      <w:r w:rsidRPr="00DF4BDA">
        <w:rPr>
          <w:rFonts w:asciiTheme="minorBidi" w:eastAsiaTheme="minorEastAsia" w:hAnsiTheme="minorBidi" w:cstheme="minorBidi"/>
          <w:b/>
          <w:bCs/>
          <w:color w:val="auto"/>
          <w:sz w:val="24"/>
          <w:szCs w:val="24"/>
        </w:rPr>
        <w:t>learning</w:t>
      </w:r>
      <w:proofErr w:type="gramEnd"/>
    </w:p>
    <w:p w14:paraId="75C6D440" w14:textId="77777777" w:rsidR="00433AD3" w:rsidRPr="00433AD3" w:rsidRDefault="00433AD3" w:rsidP="006F58D4">
      <w:pPr>
        <w:rPr>
          <w:lang w:eastAsia="zh-CN"/>
        </w:rPr>
      </w:pPr>
    </w:p>
    <w:p w14:paraId="0E36D176" w14:textId="286B451B" w:rsidR="001377F2" w:rsidRPr="00DF4BDA" w:rsidRDefault="001377F2" w:rsidP="006F58D4">
      <w:pPr>
        <w:pStyle w:val="ListParagraph"/>
        <w:numPr>
          <w:ilvl w:val="0"/>
          <w:numId w:val="16"/>
        </w:numPr>
        <w:spacing w:after="160" w:line="259" w:lineRule="auto"/>
        <w:contextualSpacing/>
        <w:rPr>
          <w:rFonts w:asciiTheme="minorBidi" w:hAnsiTheme="minorBidi"/>
          <w:sz w:val="24"/>
          <w:szCs w:val="24"/>
        </w:rPr>
      </w:pPr>
      <w:r w:rsidRPr="00DF4BDA">
        <w:rPr>
          <w:rFonts w:asciiTheme="minorBidi" w:hAnsiTheme="minorBidi"/>
          <w:sz w:val="24"/>
          <w:szCs w:val="24"/>
        </w:rPr>
        <w:t xml:space="preserve">Is the guidance sufficiently clear in relation to the rights of parents and carers </w:t>
      </w:r>
      <w:proofErr w:type="gramStart"/>
      <w:r w:rsidR="00BC775E" w:rsidRPr="00BC775E">
        <w:rPr>
          <w:rFonts w:asciiTheme="minorBidi" w:hAnsiTheme="minorBidi"/>
          <w:sz w:val="24"/>
          <w:szCs w:val="24"/>
          <w:highlight w:val="yellow"/>
        </w:rPr>
        <w:t>Unclear</w:t>
      </w:r>
      <w:proofErr w:type="gramEnd"/>
    </w:p>
    <w:p w14:paraId="680E65BF" w14:textId="5A827AB6" w:rsidR="001377F2" w:rsidRPr="00DF4BDA" w:rsidRDefault="001377F2" w:rsidP="006F58D4">
      <w:pPr>
        <w:pStyle w:val="ListParagraph"/>
        <w:numPr>
          <w:ilvl w:val="0"/>
          <w:numId w:val="16"/>
        </w:numPr>
        <w:spacing w:after="160" w:line="259" w:lineRule="auto"/>
        <w:contextualSpacing/>
        <w:rPr>
          <w:rFonts w:asciiTheme="minorBidi" w:hAnsiTheme="minorBidi"/>
          <w:sz w:val="24"/>
          <w:szCs w:val="24"/>
        </w:rPr>
      </w:pPr>
      <w:r w:rsidRPr="00DF4BDA">
        <w:rPr>
          <w:rFonts w:asciiTheme="minorBidi" w:hAnsiTheme="minorBidi"/>
          <w:sz w:val="24"/>
          <w:szCs w:val="24"/>
        </w:rPr>
        <w:t xml:space="preserve">Is the process for withdrawing a pupil sufficiently clear? </w:t>
      </w:r>
      <w:r w:rsidR="00BC775E" w:rsidRPr="00BC775E">
        <w:rPr>
          <w:rFonts w:asciiTheme="minorBidi" w:hAnsiTheme="minorBidi"/>
          <w:sz w:val="24"/>
          <w:szCs w:val="24"/>
          <w:highlight w:val="yellow"/>
        </w:rPr>
        <w:t>U</w:t>
      </w:r>
      <w:r w:rsidRPr="00BC775E">
        <w:rPr>
          <w:rFonts w:asciiTheme="minorBidi" w:hAnsiTheme="minorBidi"/>
          <w:sz w:val="24"/>
          <w:szCs w:val="24"/>
          <w:highlight w:val="yellow"/>
        </w:rPr>
        <w:t>nclear</w:t>
      </w:r>
    </w:p>
    <w:p w14:paraId="2AE77173" w14:textId="77777777" w:rsidR="00433AD3" w:rsidRDefault="001377F2" w:rsidP="006F58D4">
      <w:pPr>
        <w:rPr>
          <w:rFonts w:asciiTheme="minorBidi" w:hAnsiTheme="minorBidi" w:cstheme="minorBidi"/>
          <w:sz w:val="24"/>
          <w:szCs w:val="24"/>
        </w:rPr>
      </w:pPr>
      <w:r w:rsidRPr="00DF4BDA">
        <w:rPr>
          <w:rFonts w:asciiTheme="minorBidi" w:hAnsiTheme="minorBidi" w:cstheme="minorBidi"/>
          <w:sz w:val="24"/>
          <w:szCs w:val="24"/>
        </w:rPr>
        <w:lastRenderedPageBreak/>
        <w:t xml:space="preserve">The flowchart is useful as it illustrates withdrawal process, however it does not cover what should happen if a parent/carer wishes to withdraw the young </w:t>
      </w:r>
      <w:proofErr w:type="gramStart"/>
      <w:r w:rsidRPr="00DF4BDA">
        <w:rPr>
          <w:rFonts w:asciiTheme="minorBidi" w:hAnsiTheme="minorBidi" w:cstheme="minorBidi"/>
          <w:sz w:val="24"/>
          <w:szCs w:val="24"/>
        </w:rPr>
        <w:t>person</w:t>
      </w:r>
      <w:proofErr w:type="gramEnd"/>
      <w:r w:rsidRPr="00DF4BDA">
        <w:rPr>
          <w:rFonts w:asciiTheme="minorBidi" w:hAnsiTheme="minorBidi" w:cstheme="minorBidi"/>
          <w:sz w:val="24"/>
          <w:szCs w:val="24"/>
        </w:rPr>
        <w:t xml:space="preserve"> but the young person wishes to continue – the document insinuates that there is agreement from both parties, or if not, that a parent’s wish overrides that of a young person’s.  </w:t>
      </w:r>
    </w:p>
    <w:p w14:paraId="444A3EA4" w14:textId="77777777" w:rsidR="00433AD3" w:rsidRDefault="00433AD3" w:rsidP="006F58D4">
      <w:pPr>
        <w:rPr>
          <w:rFonts w:asciiTheme="minorBidi" w:hAnsiTheme="minorBidi" w:cstheme="minorBidi"/>
          <w:sz w:val="24"/>
          <w:szCs w:val="24"/>
        </w:rPr>
      </w:pPr>
    </w:p>
    <w:p w14:paraId="508A7E46" w14:textId="0BF800FA" w:rsidR="001377F2" w:rsidRPr="00DF4BDA" w:rsidRDefault="001377F2" w:rsidP="006F58D4">
      <w:pPr>
        <w:rPr>
          <w:rFonts w:asciiTheme="minorBidi" w:hAnsiTheme="minorBidi" w:cstheme="minorBidi"/>
          <w:sz w:val="24"/>
          <w:szCs w:val="24"/>
        </w:rPr>
      </w:pPr>
      <w:r w:rsidRPr="00DF4BDA">
        <w:rPr>
          <w:rStyle w:val="cf01"/>
          <w:rFonts w:asciiTheme="minorBidi" w:hAnsiTheme="minorBidi" w:cstheme="minorBidi"/>
          <w:sz w:val="24"/>
          <w:szCs w:val="24"/>
        </w:rPr>
        <w:t>The Schools’ Health and Wellbeing Improvement Research Network (SHINE) offers a mental health survey to network member schools. Over 85,000 responses have been received since 2020. During this time, only 58 parents have contacted the SHINE team directly about the survey. However, 85% of these queries have been from parents/carers asking to vet the questions on behalf of their children, with 18% of those parents specifically wanting assurance that there are no sexual health or gender identity questions in the survey. Those parents said they would opt out their children from the survey if sexual health questions are included, however, pupils can opt in on the day. Guidance should clarify what action schools should take in these types of situations.</w:t>
      </w:r>
    </w:p>
    <w:p w14:paraId="7BC75935" w14:textId="77777777" w:rsidR="001377F2" w:rsidRPr="00DF4BDA" w:rsidRDefault="001377F2" w:rsidP="006F58D4">
      <w:pPr>
        <w:rPr>
          <w:rFonts w:asciiTheme="minorBidi" w:hAnsiTheme="minorBidi" w:cstheme="minorBidi"/>
          <w:sz w:val="24"/>
          <w:szCs w:val="24"/>
        </w:rPr>
      </w:pPr>
    </w:p>
    <w:p w14:paraId="6C1B34F2" w14:textId="1DC72446" w:rsidR="001377F2" w:rsidRPr="00DF4BDA"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2.11 - discusses UNCRC article 12 but there is no mention of UNCRC article 28 (right to education) within document.  Surely this would be relevant when discussing withdrawal?   </w:t>
      </w:r>
    </w:p>
    <w:p w14:paraId="33AB2BD3" w14:textId="77777777" w:rsidR="00433AD3" w:rsidRDefault="00433AD3" w:rsidP="006F58D4">
      <w:pPr>
        <w:pStyle w:val="Heading2"/>
        <w:rPr>
          <w:rFonts w:asciiTheme="minorBidi" w:eastAsiaTheme="minorEastAsia" w:hAnsiTheme="minorBidi" w:cstheme="minorBidi"/>
          <w:b/>
          <w:bCs/>
          <w:color w:val="auto"/>
          <w:sz w:val="24"/>
          <w:szCs w:val="24"/>
        </w:rPr>
      </w:pPr>
    </w:p>
    <w:p w14:paraId="1977834A" w14:textId="6F51E42B" w:rsidR="001377F2" w:rsidRDefault="001377F2" w:rsidP="006F58D4">
      <w:pPr>
        <w:pStyle w:val="Heading2"/>
        <w:rPr>
          <w:rFonts w:asciiTheme="minorBidi" w:eastAsiaTheme="minorEastAsia" w:hAnsiTheme="minorBidi" w:cstheme="minorBidi"/>
          <w:b/>
          <w:bCs/>
          <w:color w:val="auto"/>
          <w:sz w:val="24"/>
          <w:szCs w:val="24"/>
        </w:rPr>
      </w:pPr>
      <w:r w:rsidRPr="00DF4BDA">
        <w:rPr>
          <w:rFonts w:asciiTheme="minorBidi" w:eastAsiaTheme="minorEastAsia" w:hAnsiTheme="minorBidi" w:cstheme="minorBidi"/>
          <w:b/>
          <w:bCs/>
          <w:color w:val="auto"/>
          <w:sz w:val="24"/>
          <w:szCs w:val="24"/>
        </w:rPr>
        <w:t>Question 4: Embedding RSHP Education as a Whole School Approach</w:t>
      </w:r>
    </w:p>
    <w:p w14:paraId="281C47EB" w14:textId="77777777" w:rsidR="00433AD3" w:rsidRPr="00433AD3" w:rsidRDefault="00433AD3" w:rsidP="006F58D4">
      <w:pPr>
        <w:rPr>
          <w:lang w:eastAsia="zh-CN"/>
        </w:rPr>
      </w:pPr>
    </w:p>
    <w:p w14:paraId="714523BB" w14:textId="742AB6DB" w:rsidR="001377F2" w:rsidRPr="00BC775E" w:rsidRDefault="001377F2" w:rsidP="006F58D4">
      <w:pPr>
        <w:pStyle w:val="Heading2"/>
        <w:rPr>
          <w:rFonts w:asciiTheme="minorBidi" w:eastAsiaTheme="minorEastAsia" w:hAnsiTheme="minorBidi" w:cstheme="minorBidi"/>
          <w:color w:val="auto"/>
          <w:sz w:val="24"/>
          <w:szCs w:val="24"/>
        </w:rPr>
      </w:pPr>
      <w:r w:rsidRPr="00DF4BDA">
        <w:rPr>
          <w:rFonts w:asciiTheme="minorBidi" w:eastAsiaTheme="minorEastAsia" w:hAnsiTheme="minorBidi" w:cstheme="minorBidi"/>
          <w:color w:val="auto"/>
          <w:sz w:val="24"/>
          <w:szCs w:val="24"/>
        </w:rPr>
        <w:t>How effective is the guidance in explaining the key issues to be highlighted to teachers in delivering RSHP education</w:t>
      </w:r>
      <w:r w:rsidR="00BC775E">
        <w:rPr>
          <w:rFonts w:asciiTheme="minorBidi" w:eastAsiaTheme="minorEastAsia" w:hAnsiTheme="minorBidi" w:cstheme="minorBidi"/>
          <w:color w:val="auto"/>
          <w:sz w:val="24"/>
          <w:szCs w:val="24"/>
        </w:rPr>
        <w:t>?</w:t>
      </w:r>
      <w:r w:rsidRPr="00DF4BDA">
        <w:rPr>
          <w:rFonts w:asciiTheme="minorBidi" w:eastAsiaTheme="minorEastAsia" w:hAnsiTheme="minorBidi" w:cstheme="minorBidi"/>
          <w:color w:val="auto"/>
          <w:sz w:val="24"/>
          <w:szCs w:val="24"/>
        </w:rPr>
        <w:t xml:space="preserve"> </w:t>
      </w:r>
      <w:r w:rsidR="00BC775E" w:rsidRPr="00BC775E">
        <w:rPr>
          <w:rFonts w:asciiTheme="minorBidi" w:eastAsiaTheme="minorEastAsia" w:hAnsiTheme="minorBidi" w:cstheme="minorBidi"/>
          <w:color w:val="auto"/>
          <w:sz w:val="24"/>
          <w:szCs w:val="24"/>
          <w:highlight w:val="yellow"/>
        </w:rPr>
        <w:t>E</w:t>
      </w:r>
      <w:r w:rsidRPr="00BC775E">
        <w:rPr>
          <w:rFonts w:asciiTheme="minorBidi" w:eastAsiaTheme="minorEastAsia" w:hAnsiTheme="minorBidi" w:cstheme="minorBidi"/>
          <w:color w:val="auto"/>
          <w:sz w:val="24"/>
          <w:szCs w:val="24"/>
          <w:highlight w:val="yellow"/>
        </w:rPr>
        <w:t>ffective</w:t>
      </w:r>
      <w:r w:rsidRPr="00DF4BDA">
        <w:rPr>
          <w:rFonts w:asciiTheme="minorBidi" w:eastAsiaTheme="minorEastAsia" w:hAnsiTheme="minorBidi" w:cstheme="minorBidi"/>
          <w:color w:val="auto"/>
          <w:sz w:val="24"/>
          <w:szCs w:val="24"/>
        </w:rPr>
        <w:t xml:space="preserve"> </w:t>
      </w:r>
    </w:p>
    <w:p w14:paraId="0BDC8374" w14:textId="77777777" w:rsidR="00BC775E" w:rsidRPr="00BC775E" w:rsidRDefault="00BC775E" w:rsidP="006F58D4">
      <w:pPr>
        <w:rPr>
          <w:lang w:eastAsia="zh-CN"/>
        </w:rPr>
      </w:pPr>
    </w:p>
    <w:p w14:paraId="0478AFF4" w14:textId="77777777"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We agree on the importance of taking a whole school approach to gender inclusive education, as delivery of programmes can be undermined if there is not sufficient school engagement, staff involvement and building of content into lessons (</w:t>
      </w:r>
      <w:proofErr w:type="spellStart"/>
      <w:r w:rsidRPr="00DF4BDA">
        <w:rPr>
          <w:rFonts w:asciiTheme="minorBidi" w:hAnsiTheme="minorBidi" w:cstheme="minorBidi"/>
          <w:sz w:val="24"/>
          <w:szCs w:val="24"/>
        </w:rPr>
        <w:t>Meiksin</w:t>
      </w:r>
      <w:proofErr w:type="spellEnd"/>
      <w:r w:rsidRPr="00DF4BDA">
        <w:rPr>
          <w:rFonts w:asciiTheme="minorBidi" w:hAnsiTheme="minorBidi" w:cstheme="minorBidi"/>
          <w:sz w:val="24"/>
          <w:szCs w:val="24"/>
        </w:rPr>
        <w:t xml:space="preserve"> </w:t>
      </w:r>
      <w:r w:rsidRPr="00DF4BDA">
        <w:rPr>
          <w:rFonts w:asciiTheme="minorBidi" w:hAnsiTheme="minorBidi" w:cstheme="minorBidi"/>
          <w:i/>
          <w:iCs/>
          <w:sz w:val="24"/>
          <w:szCs w:val="24"/>
        </w:rPr>
        <w:t>et al.</w:t>
      </w:r>
      <w:r w:rsidRPr="00DF4BDA">
        <w:rPr>
          <w:rFonts w:asciiTheme="minorBidi" w:hAnsiTheme="minorBidi" w:cstheme="minorBidi"/>
          <w:sz w:val="24"/>
          <w:szCs w:val="24"/>
        </w:rPr>
        <w:t>, 2020).</w:t>
      </w:r>
    </w:p>
    <w:p w14:paraId="78938090" w14:textId="77777777" w:rsidR="00BC775E" w:rsidRPr="00DF4BDA" w:rsidRDefault="00BC775E" w:rsidP="006F58D4">
      <w:pPr>
        <w:rPr>
          <w:rFonts w:asciiTheme="minorBidi" w:hAnsiTheme="minorBidi" w:cstheme="minorBidi"/>
          <w:sz w:val="24"/>
          <w:szCs w:val="24"/>
        </w:rPr>
      </w:pPr>
    </w:p>
    <w:p w14:paraId="2502D03A" w14:textId="77777777" w:rsidR="001377F2" w:rsidRDefault="001377F2" w:rsidP="006F58D4">
      <w:pPr>
        <w:rPr>
          <w:rFonts w:asciiTheme="minorBidi" w:hAnsiTheme="minorBidi" w:cstheme="minorBidi"/>
          <w:b/>
          <w:bCs/>
          <w:sz w:val="24"/>
          <w:szCs w:val="24"/>
        </w:rPr>
      </w:pPr>
      <w:r w:rsidRPr="00DF4BDA">
        <w:rPr>
          <w:rFonts w:asciiTheme="minorBidi" w:hAnsiTheme="minorBidi" w:cstheme="minorBidi"/>
          <w:b/>
          <w:bCs/>
          <w:sz w:val="24"/>
          <w:szCs w:val="24"/>
        </w:rPr>
        <w:t>References</w:t>
      </w:r>
    </w:p>
    <w:p w14:paraId="231BD409" w14:textId="77777777" w:rsidR="00BC775E" w:rsidRPr="00DF4BDA" w:rsidRDefault="00BC775E" w:rsidP="006F58D4">
      <w:pPr>
        <w:rPr>
          <w:rFonts w:asciiTheme="minorBidi" w:hAnsiTheme="minorBidi" w:cstheme="minorBidi"/>
          <w:b/>
          <w:bCs/>
          <w:sz w:val="24"/>
          <w:szCs w:val="24"/>
        </w:rPr>
      </w:pPr>
    </w:p>
    <w:p w14:paraId="77FAF777" w14:textId="77777777" w:rsidR="001377F2" w:rsidRPr="00345CE1" w:rsidRDefault="001377F2" w:rsidP="006F58D4">
      <w:pPr>
        <w:rPr>
          <w:rFonts w:asciiTheme="minorBidi" w:eastAsia="Calibri" w:hAnsiTheme="minorBidi" w:cstheme="minorBidi"/>
        </w:rPr>
      </w:pPr>
      <w:proofErr w:type="spellStart"/>
      <w:r w:rsidRPr="00345CE1">
        <w:rPr>
          <w:rStyle w:val="authorname"/>
          <w:rFonts w:asciiTheme="minorBidi" w:hAnsiTheme="minorBidi" w:cstheme="minorBidi"/>
          <w:shd w:val="clear" w:color="auto" w:fill="FFFFFF"/>
        </w:rPr>
        <w:t>Meiksin</w:t>
      </w:r>
      <w:proofErr w:type="spellEnd"/>
      <w:r w:rsidRPr="00345CE1">
        <w:rPr>
          <w:rStyle w:val="separator"/>
          <w:rFonts w:asciiTheme="minorBidi" w:hAnsiTheme="minorBidi" w:cstheme="minorBidi"/>
          <w:shd w:val="clear" w:color="auto" w:fill="FFFFFF"/>
        </w:rPr>
        <w:t xml:space="preserve">, R., </w:t>
      </w:r>
      <w:r w:rsidRPr="00345CE1">
        <w:rPr>
          <w:rStyle w:val="authorname"/>
          <w:rFonts w:asciiTheme="minorBidi" w:hAnsiTheme="minorBidi" w:cstheme="minorBidi"/>
          <w:shd w:val="clear" w:color="auto" w:fill="FFFFFF"/>
        </w:rPr>
        <w:t>Campbell</w:t>
      </w:r>
      <w:r w:rsidRPr="00345CE1">
        <w:rPr>
          <w:rStyle w:val="separator"/>
          <w:rFonts w:asciiTheme="minorBidi" w:hAnsiTheme="minorBidi" w:cstheme="minorBidi"/>
          <w:shd w:val="clear" w:color="auto" w:fill="FFFFFF"/>
        </w:rPr>
        <w:t xml:space="preserve">, R., </w:t>
      </w:r>
      <w:r w:rsidRPr="00345CE1">
        <w:rPr>
          <w:rStyle w:val="authorname"/>
          <w:rFonts w:asciiTheme="minorBidi" w:hAnsiTheme="minorBidi" w:cstheme="minorBidi"/>
          <w:shd w:val="clear" w:color="auto" w:fill="FFFFFF"/>
        </w:rPr>
        <w:t>Crichton</w:t>
      </w:r>
      <w:r w:rsidRPr="00345CE1">
        <w:rPr>
          <w:rStyle w:val="separator"/>
          <w:rFonts w:asciiTheme="minorBidi" w:hAnsiTheme="minorBidi" w:cstheme="minorBidi"/>
          <w:shd w:val="clear" w:color="auto" w:fill="FFFFFF"/>
        </w:rPr>
        <w:t xml:space="preserve">, J., </w:t>
      </w:r>
      <w:r w:rsidRPr="00345CE1">
        <w:rPr>
          <w:rStyle w:val="authorname"/>
          <w:rFonts w:asciiTheme="minorBidi" w:hAnsiTheme="minorBidi" w:cstheme="minorBidi"/>
          <w:shd w:val="clear" w:color="auto" w:fill="FFFFFF"/>
        </w:rPr>
        <w:t>Morgan</w:t>
      </w:r>
      <w:r w:rsidRPr="00345CE1">
        <w:rPr>
          <w:rStyle w:val="separator"/>
          <w:rFonts w:asciiTheme="minorBidi" w:hAnsiTheme="minorBidi" w:cstheme="minorBidi"/>
          <w:shd w:val="clear" w:color="auto" w:fill="FFFFFF"/>
        </w:rPr>
        <w:t xml:space="preserve">, G.S., Williams, P., </w:t>
      </w:r>
      <w:r w:rsidRPr="00345CE1">
        <w:rPr>
          <w:rStyle w:val="authorname"/>
          <w:rFonts w:asciiTheme="minorBidi" w:hAnsiTheme="minorBidi" w:cstheme="minorBidi"/>
          <w:shd w:val="clear" w:color="auto" w:fill="FFFFFF"/>
        </w:rPr>
        <w:t>Willmott</w:t>
      </w:r>
      <w:r w:rsidRPr="00345CE1">
        <w:rPr>
          <w:rStyle w:val="separator"/>
          <w:rFonts w:asciiTheme="minorBidi" w:hAnsiTheme="minorBidi" w:cstheme="minorBidi"/>
          <w:shd w:val="clear" w:color="auto" w:fill="FFFFFF"/>
        </w:rPr>
        <w:t xml:space="preserve">, M. </w:t>
      </w:r>
      <w:r w:rsidRPr="00345CE1">
        <w:rPr>
          <w:rStyle w:val="separator"/>
          <w:rFonts w:asciiTheme="minorBidi" w:hAnsiTheme="minorBidi" w:cstheme="minorBidi"/>
          <w:i/>
          <w:iCs/>
          <w:shd w:val="clear" w:color="auto" w:fill="FFFFFF"/>
        </w:rPr>
        <w:t>et al.</w:t>
      </w:r>
      <w:r w:rsidRPr="00345CE1">
        <w:rPr>
          <w:rStyle w:val="separator"/>
          <w:rFonts w:asciiTheme="minorBidi" w:hAnsiTheme="minorBidi" w:cstheme="minorBidi"/>
          <w:shd w:val="clear" w:color="auto" w:fill="FFFFFF"/>
        </w:rPr>
        <w:t> </w:t>
      </w:r>
      <w:r w:rsidRPr="00345CE1">
        <w:rPr>
          <w:rStyle w:val="Date1"/>
          <w:rFonts w:asciiTheme="minorBidi" w:hAnsiTheme="minorBidi" w:cstheme="minorBidi"/>
          <w:shd w:val="clear" w:color="auto" w:fill="FFFFFF"/>
        </w:rPr>
        <w:t xml:space="preserve"> (2020)</w:t>
      </w:r>
      <w:r w:rsidRPr="00345CE1">
        <w:rPr>
          <w:rFonts w:asciiTheme="minorBidi" w:hAnsiTheme="minorBidi" w:cstheme="minorBidi"/>
          <w:shd w:val="clear" w:color="auto" w:fill="FFFFFF"/>
        </w:rPr>
        <w:t> </w:t>
      </w:r>
      <w:r w:rsidRPr="00345CE1">
        <w:rPr>
          <w:rStyle w:val="arttitle"/>
          <w:rFonts w:asciiTheme="minorBidi" w:hAnsiTheme="minorBidi" w:cstheme="minorBidi"/>
          <w:shd w:val="clear" w:color="auto" w:fill="FFFFFF"/>
        </w:rPr>
        <w:t>Implementing a whole-school relationships and sex education intervention to prevent dating and relationship violence: evidence from a pilot trial in English secondary schools,</w:t>
      </w:r>
      <w:r w:rsidRPr="00345CE1">
        <w:rPr>
          <w:rFonts w:asciiTheme="minorBidi" w:hAnsiTheme="minorBidi" w:cstheme="minorBidi"/>
          <w:shd w:val="clear" w:color="auto" w:fill="FFFFFF"/>
        </w:rPr>
        <w:t> </w:t>
      </w:r>
      <w:r w:rsidRPr="00345CE1">
        <w:rPr>
          <w:rStyle w:val="serialtitle"/>
          <w:rFonts w:asciiTheme="minorBidi" w:hAnsiTheme="minorBidi" w:cstheme="minorBidi"/>
          <w:shd w:val="clear" w:color="auto" w:fill="FFFFFF"/>
        </w:rPr>
        <w:t>Sex Education,</w:t>
      </w:r>
      <w:r w:rsidRPr="00345CE1">
        <w:rPr>
          <w:rFonts w:asciiTheme="minorBidi" w:hAnsiTheme="minorBidi" w:cstheme="minorBidi"/>
          <w:shd w:val="clear" w:color="auto" w:fill="FFFFFF"/>
        </w:rPr>
        <w:t> </w:t>
      </w:r>
      <w:r w:rsidRPr="00345CE1">
        <w:rPr>
          <w:rStyle w:val="volumeissue"/>
          <w:rFonts w:asciiTheme="minorBidi" w:hAnsiTheme="minorBidi" w:cstheme="minorBidi"/>
          <w:shd w:val="clear" w:color="auto" w:fill="FFFFFF"/>
        </w:rPr>
        <w:t>20:6,</w:t>
      </w:r>
      <w:r w:rsidRPr="00345CE1">
        <w:rPr>
          <w:rFonts w:asciiTheme="minorBidi" w:hAnsiTheme="minorBidi" w:cstheme="minorBidi"/>
          <w:shd w:val="clear" w:color="auto" w:fill="FFFFFF"/>
        </w:rPr>
        <w:t> </w:t>
      </w:r>
      <w:r w:rsidRPr="00345CE1">
        <w:rPr>
          <w:rStyle w:val="pagerange"/>
          <w:rFonts w:asciiTheme="minorBidi" w:hAnsiTheme="minorBidi" w:cstheme="minorBidi"/>
          <w:shd w:val="clear" w:color="auto" w:fill="FFFFFF"/>
        </w:rPr>
        <w:t>658-674</w:t>
      </w:r>
      <w:r w:rsidRPr="00345CE1">
        <w:rPr>
          <w:rFonts w:asciiTheme="minorBidi" w:eastAsia="Calibri" w:hAnsiTheme="minorBidi" w:cstheme="minorBidi"/>
        </w:rPr>
        <w:t xml:space="preserve"> </w:t>
      </w:r>
    </w:p>
    <w:p w14:paraId="28658421" w14:textId="77777777" w:rsidR="001377F2" w:rsidRPr="00DF4BDA" w:rsidRDefault="001377F2" w:rsidP="006F58D4">
      <w:pPr>
        <w:pStyle w:val="Heading2"/>
        <w:rPr>
          <w:rFonts w:asciiTheme="minorBidi" w:eastAsiaTheme="minorEastAsia" w:hAnsiTheme="minorBidi" w:cstheme="minorBidi"/>
          <w:b/>
          <w:bCs/>
          <w:color w:val="auto"/>
          <w:sz w:val="24"/>
          <w:szCs w:val="24"/>
        </w:rPr>
      </w:pPr>
    </w:p>
    <w:p w14:paraId="4E43B73B" w14:textId="6F014616" w:rsidR="00BC775E" w:rsidRDefault="001377F2" w:rsidP="006F58D4">
      <w:pPr>
        <w:pStyle w:val="Heading2"/>
        <w:rPr>
          <w:rFonts w:asciiTheme="minorBidi" w:eastAsiaTheme="minorEastAsia" w:hAnsiTheme="minorBidi" w:cstheme="minorBidi"/>
          <w:b/>
          <w:bCs/>
          <w:color w:val="auto"/>
          <w:sz w:val="24"/>
          <w:szCs w:val="24"/>
        </w:rPr>
      </w:pPr>
      <w:r w:rsidRPr="00DF4BDA">
        <w:rPr>
          <w:rFonts w:asciiTheme="minorBidi" w:eastAsiaTheme="minorEastAsia" w:hAnsiTheme="minorBidi" w:cstheme="minorBidi"/>
          <w:b/>
          <w:bCs/>
          <w:color w:val="auto"/>
          <w:sz w:val="24"/>
          <w:szCs w:val="24"/>
        </w:rPr>
        <w:t>Question 5: Consent and healthy relationships</w:t>
      </w:r>
    </w:p>
    <w:p w14:paraId="17D69E7C" w14:textId="77777777" w:rsidR="00433AD3" w:rsidRPr="00433AD3" w:rsidRDefault="00433AD3" w:rsidP="006F58D4">
      <w:pPr>
        <w:rPr>
          <w:lang w:eastAsia="zh-CN"/>
        </w:rPr>
      </w:pPr>
    </w:p>
    <w:p w14:paraId="5D287A30" w14:textId="7B5A5A0A" w:rsidR="001377F2" w:rsidRPr="00DF4BDA" w:rsidRDefault="001377F2" w:rsidP="006F58D4">
      <w:pPr>
        <w:pStyle w:val="ListParagraph"/>
        <w:numPr>
          <w:ilvl w:val="0"/>
          <w:numId w:val="13"/>
        </w:numPr>
        <w:spacing w:after="240"/>
        <w:contextualSpacing/>
        <w:rPr>
          <w:rFonts w:asciiTheme="minorBidi" w:hAnsiTheme="minorBidi"/>
          <w:kern w:val="0"/>
          <w:sz w:val="24"/>
          <w:szCs w:val="24"/>
          <w14:ligatures w14:val="none"/>
        </w:rPr>
      </w:pPr>
      <w:r w:rsidRPr="00DF4BDA">
        <w:rPr>
          <w:rStyle w:val="Heading3Char"/>
          <w:rFonts w:asciiTheme="minorBidi" w:eastAsiaTheme="minorEastAsia" w:hAnsiTheme="minorBidi" w:cstheme="minorBidi"/>
          <w:color w:val="auto"/>
        </w:rPr>
        <w:t>Is the guidance sufficiently clear in supporting consent and healthy relationships having a greater focus in RSHP education?</w:t>
      </w:r>
      <w:r w:rsidRPr="00DF4BDA">
        <w:rPr>
          <w:rFonts w:asciiTheme="minorBidi" w:hAnsiTheme="minorBidi"/>
          <w:sz w:val="24"/>
          <w:szCs w:val="24"/>
        </w:rPr>
        <w:t xml:space="preserve"> </w:t>
      </w:r>
      <w:r w:rsidR="00BC775E" w:rsidRPr="00BC775E">
        <w:rPr>
          <w:rFonts w:asciiTheme="minorBidi" w:hAnsiTheme="minorBidi"/>
          <w:sz w:val="24"/>
          <w:szCs w:val="24"/>
          <w:highlight w:val="yellow"/>
        </w:rPr>
        <w:t>No</w:t>
      </w:r>
    </w:p>
    <w:p w14:paraId="4A06F7FD" w14:textId="4A1DC616" w:rsidR="00BC775E" w:rsidRDefault="001377F2" w:rsidP="00345CE1">
      <w:pPr>
        <w:rPr>
          <w:rFonts w:asciiTheme="minorBidi" w:hAnsiTheme="minorBidi"/>
          <w:sz w:val="24"/>
          <w:szCs w:val="24"/>
        </w:rPr>
      </w:pPr>
      <w:r w:rsidRPr="00DF4BDA">
        <w:rPr>
          <w:rFonts w:asciiTheme="minorBidi" w:hAnsiTheme="minorBidi" w:cstheme="minorBidi"/>
          <w:sz w:val="24"/>
          <w:szCs w:val="24"/>
        </w:rPr>
        <w:t xml:space="preserve">The guidance should clarify the definition of “consent”. Willis </w:t>
      </w:r>
      <w:r w:rsidRPr="00DF4BDA">
        <w:rPr>
          <w:rFonts w:asciiTheme="minorBidi" w:hAnsiTheme="minorBidi" w:cstheme="minorBidi"/>
          <w:i/>
          <w:iCs/>
          <w:sz w:val="24"/>
          <w:szCs w:val="24"/>
        </w:rPr>
        <w:t>et al</w:t>
      </w:r>
      <w:r w:rsidRPr="00DF4BDA">
        <w:rPr>
          <w:rFonts w:asciiTheme="minorBidi" w:hAnsiTheme="minorBidi" w:cstheme="minorBidi"/>
          <w:sz w:val="24"/>
          <w:szCs w:val="24"/>
        </w:rPr>
        <w:t xml:space="preserve">. (2021) defines consent as: “voluntary, sober, and conscious willingness to engage in a particular sexual behaviour with a particular person within a particular context.” pg.3. </w:t>
      </w:r>
      <w:r w:rsidRPr="00DF4BDA">
        <w:rPr>
          <w:rFonts w:asciiTheme="minorBidi" w:hAnsiTheme="minorBidi"/>
          <w:sz w:val="24"/>
          <w:szCs w:val="24"/>
        </w:rPr>
        <w:t xml:space="preserve">However, we understand and agree that the definition of “consent” should be adapted based upon the age of the young people to ensure age-appropriate discussions on consent and healthy relationships throughout schooling. Those delivering messages on consent should recognise that young people’s sexual activity may be unplanned; that </w:t>
      </w:r>
      <w:r w:rsidRPr="00DF4BDA">
        <w:rPr>
          <w:rFonts w:asciiTheme="minorBidi" w:hAnsiTheme="minorBidi"/>
          <w:sz w:val="24"/>
          <w:szCs w:val="24"/>
        </w:rPr>
        <w:lastRenderedPageBreak/>
        <w:t xml:space="preserve">young people may be ambivalent about whether they want it to happen; and that there is rarely verbal communication (Mitchell and Wellings, 2002).  It is important that educators giving guidance on consent avoid simplistic messages that negate these realities. </w:t>
      </w:r>
    </w:p>
    <w:p w14:paraId="3EDF83FA" w14:textId="77777777" w:rsidR="00345CE1" w:rsidRPr="00345CE1" w:rsidRDefault="00345CE1" w:rsidP="00345CE1">
      <w:pPr>
        <w:rPr>
          <w:rFonts w:asciiTheme="minorBidi" w:hAnsiTheme="minorBidi" w:cstheme="minorBidi"/>
          <w:sz w:val="24"/>
          <w:szCs w:val="24"/>
        </w:rPr>
      </w:pPr>
    </w:p>
    <w:p w14:paraId="136AC31E" w14:textId="543D2D7D" w:rsidR="001377F2" w:rsidRPr="00DF4BDA" w:rsidRDefault="001377F2" w:rsidP="006F58D4">
      <w:pPr>
        <w:pStyle w:val="ListParagraph"/>
        <w:spacing w:after="240"/>
        <w:ind w:left="0"/>
        <w:rPr>
          <w:rFonts w:asciiTheme="minorBidi" w:hAnsiTheme="minorBidi"/>
          <w:sz w:val="24"/>
          <w:szCs w:val="24"/>
        </w:rPr>
      </w:pPr>
      <w:r w:rsidRPr="00DF4BDA">
        <w:rPr>
          <w:rFonts w:asciiTheme="minorBidi" w:hAnsiTheme="minorBidi"/>
          <w:sz w:val="24"/>
          <w:szCs w:val="24"/>
        </w:rPr>
        <w:t xml:space="preserve">3.4 – While emphasising consent laws and the consequences of negative behaviours (in-person and online) is important, consent education should also encourage and support young people to feel comfortable advocating for themselves, band should avoid messages that provoke anxiety for young people (e.g. messages about enthusiastic verbal consent that are unrealistic for most young people). Mitchell </w:t>
      </w:r>
      <w:r w:rsidRPr="00DF4BDA">
        <w:rPr>
          <w:rFonts w:asciiTheme="minorBidi" w:hAnsiTheme="minorBidi"/>
          <w:i/>
          <w:iCs/>
          <w:sz w:val="24"/>
          <w:szCs w:val="24"/>
        </w:rPr>
        <w:t>et al.</w:t>
      </w:r>
      <w:r w:rsidRPr="00DF4BDA">
        <w:rPr>
          <w:rFonts w:asciiTheme="minorBidi" w:hAnsiTheme="minorBidi"/>
          <w:sz w:val="24"/>
          <w:szCs w:val="24"/>
        </w:rPr>
        <w:t>’s (2021) model of sexual wellbeing highlights comfort with sexuality (i.e., “Experience of ease in contemplation, communication, and enactments of sexuality and sex”, pg. 610) and sexual self-determination (i.e., “Free choice or rejection of sexual partner(s), behaviours, context and timing without pressure, force, or felt obligation”, pg. 610) as essential parts of positive sexual wellbeing. Educating young people on these aspects could include techniques on how to articulate healthy boundaries and how to handle the pushing or overstepping of those boundaries. Discussions around boundary setting are something which can be introduced at a young age, and which can develop into discussions on sexual consent.</w:t>
      </w:r>
    </w:p>
    <w:p w14:paraId="75FEC5CA" w14:textId="67C9A065" w:rsidR="001377F2" w:rsidRPr="00DF4BDA" w:rsidRDefault="001377F2" w:rsidP="006F58D4">
      <w:pPr>
        <w:pStyle w:val="ListParagraph"/>
        <w:spacing w:after="240"/>
        <w:ind w:left="0"/>
        <w:rPr>
          <w:rFonts w:asciiTheme="minorBidi" w:hAnsiTheme="minorBidi"/>
          <w:sz w:val="24"/>
          <w:szCs w:val="24"/>
        </w:rPr>
      </w:pPr>
      <w:r w:rsidRPr="00DF4BDA">
        <w:rPr>
          <w:rFonts w:asciiTheme="minorBidi" w:hAnsiTheme="minorBidi"/>
          <w:sz w:val="24"/>
          <w:szCs w:val="24"/>
        </w:rPr>
        <w:t xml:space="preserve">Section 3.6, 3.7 and 3.10  In terms of resources for whole school approaches to consent and healthy relationships, we recommend the inclusion of the Equally Safe at School intervention (led by Rape Crisis Scotland and funded under the Equally Safe strategy - see </w:t>
      </w:r>
      <w:hyperlink r:id="rId7">
        <w:r w:rsidRPr="00DF4BDA">
          <w:rPr>
            <w:rStyle w:val="Hyperlink"/>
            <w:rFonts w:asciiTheme="minorBidi" w:hAnsiTheme="minorBidi"/>
            <w:color w:val="auto"/>
            <w:sz w:val="24"/>
            <w:szCs w:val="24"/>
          </w:rPr>
          <w:t>https://www.equallysafeatschool.org.uk/</w:t>
        </w:r>
      </w:hyperlink>
      <w:r w:rsidRPr="00DF4BDA">
        <w:rPr>
          <w:rFonts w:asciiTheme="minorBidi" w:hAnsiTheme="minorBidi"/>
          <w:sz w:val="24"/>
          <w:szCs w:val="24"/>
        </w:rPr>
        <w:t xml:space="preserve">). Equally Safe at School takes a whole school approach in tackling the roots of gender-based violence (gender inequality) and complements bystander approaches. Equally Safe at School is currently being rolled out in Scotland and is undergoing a national evaluation led by University of Glasgow (and funded by the </w:t>
      </w:r>
      <w:r w:rsidRPr="00DF4BDA">
        <w:rPr>
          <w:rFonts w:asciiTheme="minorBidi" w:eastAsia="Calibri" w:hAnsiTheme="minorBidi"/>
          <w:sz w:val="24"/>
          <w:szCs w:val="24"/>
        </w:rPr>
        <w:t>National Institute for Health and Care Research</w:t>
      </w:r>
      <w:r w:rsidRPr="00DF4BDA">
        <w:rPr>
          <w:rFonts w:asciiTheme="minorBidi" w:hAnsiTheme="minorBidi"/>
          <w:sz w:val="24"/>
          <w:szCs w:val="24"/>
        </w:rPr>
        <w:t>).  Whether or not schools undertake Equally Safe at School, there are useful resources for schools on the website, including a systems map which explores the challenges of reporting and addressing incidents of sexual harassment in school (</w:t>
      </w:r>
      <w:hyperlink r:id="rId8">
        <w:r w:rsidRPr="00DF4BDA">
          <w:rPr>
            <w:rStyle w:val="Hyperlink"/>
            <w:rFonts w:asciiTheme="minorBidi" w:hAnsiTheme="minorBidi"/>
            <w:color w:val="auto"/>
            <w:sz w:val="24"/>
            <w:szCs w:val="24"/>
          </w:rPr>
          <w:t>https://www.equallysafeatschool.org.uk/research/</w:t>
        </w:r>
      </w:hyperlink>
      <w:r w:rsidRPr="00DF4BDA">
        <w:rPr>
          <w:rFonts w:asciiTheme="minorBidi" w:hAnsiTheme="minorBidi"/>
          <w:sz w:val="24"/>
          <w:szCs w:val="24"/>
        </w:rPr>
        <w:t>) and an animated video for discussion with students (</w:t>
      </w:r>
      <w:hyperlink r:id="rId9">
        <w:r w:rsidRPr="00DF4BDA">
          <w:rPr>
            <w:rStyle w:val="Hyperlink"/>
            <w:rFonts w:asciiTheme="minorBidi" w:hAnsiTheme="minorBidi"/>
            <w:color w:val="auto"/>
            <w:sz w:val="24"/>
            <w:szCs w:val="24"/>
          </w:rPr>
          <w:t>https://www.equallysafeatschool.org.uk/</w:t>
        </w:r>
      </w:hyperlink>
      <w:r w:rsidRPr="00DF4BDA">
        <w:rPr>
          <w:rFonts w:asciiTheme="minorBidi" w:hAnsiTheme="minorBidi"/>
          <w:sz w:val="24"/>
          <w:szCs w:val="24"/>
        </w:rPr>
        <w:t xml:space="preserve">). Recent research finds that sexual harassment is common in Scottish secondary schools and there is need to address the ambiguities in ‘what counts’ as sexual harassment (Sweeting </w:t>
      </w:r>
      <w:r w:rsidRPr="00DF4BDA">
        <w:rPr>
          <w:rFonts w:asciiTheme="minorBidi" w:hAnsiTheme="minorBidi"/>
          <w:i/>
          <w:iCs/>
          <w:sz w:val="24"/>
          <w:szCs w:val="24"/>
        </w:rPr>
        <w:t>et al.</w:t>
      </w:r>
      <w:r w:rsidRPr="00DF4BDA">
        <w:rPr>
          <w:rFonts w:asciiTheme="minorBidi" w:hAnsiTheme="minorBidi"/>
          <w:sz w:val="24"/>
          <w:szCs w:val="24"/>
        </w:rPr>
        <w:t>, 2022)</w:t>
      </w:r>
    </w:p>
    <w:p w14:paraId="1968020B" w14:textId="4623290D" w:rsidR="001377F2" w:rsidRPr="00DF4BDA" w:rsidRDefault="001377F2" w:rsidP="006F58D4">
      <w:pPr>
        <w:pStyle w:val="ListParagraph"/>
        <w:spacing w:after="240"/>
        <w:ind w:left="0"/>
        <w:rPr>
          <w:rFonts w:asciiTheme="minorBidi" w:hAnsiTheme="minorBidi"/>
          <w:sz w:val="24"/>
          <w:szCs w:val="24"/>
        </w:rPr>
      </w:pPr>
      <w:r w:rsidRPr="00DF4BDA">
        <w:rPr>
          <w:rFonts w:asciiTheme="minorBidi" w:hAnsiTheme="minorBidi"/>
          <w:sz w:val="24"/>
          <w:szCs w:val="24"/>
        </w:rPr>
        <w:t xml:space="preserve">We note from meetings with schools taking part in Equally Safe at School, concern about a rise in misogynistic attitudes among male students, potentially stemming from exposure to online influencers such as Andrew Tate. In terms of future-proofing the guidance, it might be good to include to recognise and include guidance on this issue, particularly since it strongly underpins gender-based violence.  </w:t>
      </w:r>
    </w:p>
    <w:p w14:paraId="30EF3B50" w14:textId="77777777" w:rsidR="001377F2" w:rsidRPr="00DF4BDA" w:rsidRDefault="001377F2" w:rsidP="006F58D4">
      <w:pPr>
        <w:pStyle w:val="ListParagraph"/>
        <w:spacing w:after="240"/>
        <w:ind w:left="0"/>
        <w:rPr>
          <w:rFonts w:asciiTheme="minorBidi" w:hAnsiTheme="minorBidi"/>
          <w:sz w:val="24"/>
          <w:szCs w:val="24"/>
        </w:rPr>
      </w:pPr>
      <w:r w:rsidRPr="00DF4BDA">
        <w:rPr>
          <w:rFonts w:asciiTheme="minorBidi" w:hAnsiTheme="minorBidi"/>
          <w:sz w:val="24"/>
          <w:szCs w:val="24"/>
        </w:rPr>
        <w:t xml:space="preserve">On 3.7 we note that the current list of resources </w:t>
      </w:r>
      <w:proofErr w:type="gramStart"/>
      <w:r w:rsidRPr="00DF4BDA">
        <w:rPr>
          <w:rFonts w:asciiTheme="minorBidi" w:hAnsiTheme="minorBidi"/>
          <w:sz w:val="24"/>
          <w:szCs w:val="24"/>
        </w:rPr>
        <w:t>are</w:t>
      </w:r>
      <w:proofErr w:type="gramEnd"/>
      <w:r w:rsidRPr="00DF4BDA">
        <w:rPr>
          <w:rFonts w:asciiTheme="minorBidi" w:hAnsiTheme="minorBidi"/>
          <w:sz w:val="24"/>
          <w:szCs w:val="24"/>
        </w:rPr>
        <w:t xml:space="preserve"> all focused on risk and adverse outcomes. Our research finds that sexual function problems are common in young people – approx. 10% of </w:t>
      </w:r>
      <w:proofErr w:type="gramStart"/>
      <w:r w:rsidRPr="00DF4BDA">
        <w:rPr>
          <w:rFonts w:asciiTheme="minorBidi" w:hAnsiTheme="minorBidi"/>
          <w:sz w:val="24"/>
          <w:szCs w:val="24"/>
        </w:rPr>
        <w:t>16 to 21 year olds</w:t>
      </w:r>
      <w:proofErr w:type="gramEnd"/>
      <w:r w:rsidRPr="00DF4BDA">
        <w:rPr>
          <w:rFonts w:asciiTheme="minorBidi" w:hAnsiTheme="minorBidi"/>
          <w:sz w:val="24"/>
          <w:szCs w:val="24"/>
        </w:rPr>
        <w:t xml:space="preserve"> report a distressing sexual problem lasting 3 months of more in the last year (Mitchell </w:t>
      </w:r>
      <w:r w:rsidRPr="00DF4BDA">
        <w:rPr>
          <w:rFonts w:asciiTheme="minorBidi" w:hAnsiTheme="minorBidi"/>
          <w:i/>
          <w:iCs/>
          <w:sz w:val="24"/>
          <w:szCs w:val="24"/>
        </w:rPr>
        <w:t>et al.</w:t>
      </w:r>
      <w:r w:rsidRPr="00DF4BDA">
        <w:rPr>
          <w:rFonts w:asciiTheme="minorBidi" w:hAnsiTheme="minorBidi"/>
          <w:sz w:val="24"/>
          <w:szCs w:val="24"/>
        </w:rPr>
        <w:t xml:space="preserve">, 2016). A risk-focused approach may neglect to answer pressing questions for older adolescents around more positive aspects of </w:t>
      </w:r>
      <w:proofErr w:type="gramStart"/>
      <w:r w:rsidRPr="00DF4BDA">
        <w:rPr>
          <w:rFonts w:asciiTheme="minorBidi" w:hAnsiTheme="minorBidi"/>
          <w:sz w:val="24"/>
          <w:szCs w:val="24"/>
        </w:rPr>
        <w:t>sexuality, and</w:t>
      </w:r>
      <w:proofErr w:type="gramEnd"/>
      <w:r w:rsidRPr="00DF4BDA">
        <w:rPr>
          <w:rFonts w:asciiTheme="minorBidi" w:hAnsiTheme="minorBidi"/>
          <w:sz w:val="24"/>
          <w:szCs w:val="24"/>
        </w:rPr>
        <w:t xml:space="preserve"> may ignite anxieties that contribute to sexual problems in adult life. </w:t>
      </w:r>
    </w:p>
    <w:p w14:paraId="026CD5C8" w14:textId="77777777" w:rsidR="00345CE1" w:rsidRDefault="001377F2" w:rsidP="006F58D4">
      <w:pPr>
        <w:spacing w:after="240"/>
        <w:rPr>
          <w:rFonts w:asciiTheme="minorBidi" w:hAnsiTheme="minorBidi" w:cstheme="minorBidi"/>
          <w:sz w:val="24"/>
          <w:szCs w:val="24"/>
        </w:rPr>
      </w:pPr>
      <w:r w:rsidRPr="00DF4BDA">
        <w:rPr>
          <w:rFonts w:asciiTheme="minorBidi" w:hAnsiTheme="minorBidi" w:cstheme="minorBidi"/>
          <w:sz w:val="24"/>
          <w:szCs w:val="24"/>
        </w:rPr>
        <w:lastRenderedPageBreak/>
        <w:t xml:space="preserve">Section 4.7 – We agree that the bystander approach is a useful technique to encourage community responsibility to reduce sexual harassment/violence. However, the bystander approach only infers the involvement of those not directly involved in instances of sexual harassment/violence. Such an approach does not consider or include those who are directly involved in an encounter they are uncomfortable with or do not like. Equally, a bystander approach is only useful in scenarios where there are bystanders present. </w:t>
      </w:r>
    </w:p>
    <w:p w14:paraId="64C32E5F" w14:textId="24521B98" w:rsidR="001377F2" w:rsidRPr="00DF4BDA" w:rsidRDefault="001377F2" w:rsidP="006F58D4">
      <w:pPr>
        <w:spacing w:after="240"/>
        <w:rPr>
          <w:rFonts w:asciiTheme="minorBidi" w:hAnsiTheme="minorBidi" w:cstheme="minorBidi"/>
          <w:sz w:val="24"/>
          <w:szCs w:val="24"/>
        </w:rPr>
      </w:pPr>
      <w:r w:rsidRPr="00DF4BDA">
        <w:rPr>
          <w:rFonts w:asciiTheme="minorBidi" w:hAnsiTheme="minorBidi" w:cstheme="minorBidi"/>
          <w:sz w:val="24"/>
          <w:szCs w:val="24"/>
        </w:rPr>
        <w:t xml:space="preserve">Through the STASH (Sexually Transmitted infections And Sexual Health) intervention, Purcell </w:t>
      </w:r>
      <w:r w:rsidRPr="00DF4BDA">
        <w:rPr>
          <w:rFonts w:asciiTheme="minorBidi" w:hAnsiTheme="minorBidi" w:cstheme="minorBidi"/>
          <w:i/>
          <w:iCs/>
          <w:sz w:val="24"/>
          <w:szCs w:val="24"/>
        </w:rPr>
        <w:t>et al</w:t>
      </w:r>
      <w:r w:rsidRPr="00DF4BDA">
        <w:rPr>
          <w:rFonts w:asciiTheme="minorBidi" w:hAnsiTheme="minorBidi" w:cstheme="minorBidi"/>
          <w:sz w:val="24"/>
          <w:szCs w:val="24"/>
        </w:rPr>
        <w:t xml:space="preserve">. (2023) established a need to prioritise young people’s development of direct communication around sex, and to improve the self-efficacy of children aged 14-16 regarding sexual health and wellbeing. This is particularly important when it comes to evidence which suggests that young people may not always have the skills to communicate effectively about sex (Mitchell </w:t>
      </w:r>
      <w:r w:rsidRPr="00DF4BDA">
        <w:rPr>
          <w:rFonts w:asciiTheme="minorBidi" w:hAnsiTheme="minorBidi" w:cstheme="minorBidi"/>
          <w:i/>
          <w:iCs/>
          <w:sz w:val="24"/>
          <w:szCs w:val="24"/>
        </w:rPr>
        <w:t>et al</w:t>
      </w:r>
      <w:r w:rsidRPr="00DF4BDA">
        <w:rPr>
          <w:rFonts w:asciiTheme="minorBidi" w:hAnsiTheme="minorBidi" w:cstheme="minorBidi"/>
          <w:sz w:val="24"/>
          <w:szCs w:val="24"/>
        </w:rPr>
        <w:t xml:space="preserve">., 2020; Patterson </w:t>
      </w:r>
      <w:r w:rsidRPr="00DF4BDA">
        <w:rPr>
          <w:rFonts w:asciiTheme="minorBidi" w:hAnsiTheme="minorBidi" w:cstheme="minorBidi"/>
          <w:i/>
          <w:iCs/>
          <w:sz w:val="24"/>
          <w:szCs w:val="24"/>
        </w:rPr>
        <w:t>et al.</w:t>
      </w:r>
      <w:r w:rsidRPr="00DF4BDA">
        <w:rPr>
          <w:rFonts w:asciiTheme="minorBidi" w:hAnsiTheme="minorBidi" w:cstheme="minorBidi"/>
          <w:sz w:val="24"/>
          <w:szCs w:val="24"/>
        </w:rPr>
        <w:t xml:space="preserve">, 2020). Comparatively, Tanton </w:t>
      </w:r>
      <w:r w:rsidRPr="00DF4BDA">
        <w:rPr>
          <w:rFonts w:asciiTheme="minorBidi" w:hAnsiTheme="minorBidi" w:cstheme="minorBidi"/>
          <w:i/>
          <w:iCs/>
          <w:sz w:val="24"/>
          <w:szCs w:val="24"/>
        </w:rPr>
        <w:t>et al.</w:t>
      </w:r>
      <w:r w:rsidRPr="00DF4BDA">
        <w:rPr>
          <w:rFonts w:asciiTheme="minorBidi" w:hAnsiTheme="minorBidi" w:cstheme="minorBidi"/>
          <w:sz w:val="24"/>
          <w:szCs w:val="24"/>
        </w:rPr>
        <w:t xml:space="preserve"> (2015) suggested that older adolescents want their school to provide them with information on psychosexual matters pertaining to sexual feelings and navigating risky sexual behaviours, in which consent communication plays a crucial role.</w:t>
      </w:r>
    </w:p>
    <w:p w14:paraId="2ED6E933" w14:textId="0B980E54" w:rsidR="001377F2" w:rsidRPr="00DF4BDA" w:rsidRDefault="001377F2" w:rsidP="006F58D4">
      <w:pPr>
        <w:spacing w:after="240"/>
        <w:rPr>
          <w:rFonts w:asciiTheme="minorBidi" w:hAnsiTheme="minorBidi" w:cstheme="minorBidi"/>
          <w:b/>
          <w:bCs/>
          <w:sz w:val="24"/>
          <w:szCs w:val="24"/>
        </w:rPr>
      </w:pPr>
      <w:r w:rsidRPr="00DF4BDA">
        <w:rPr>
          <w:rFonts w:asciiTheme="minorBidi" w:hAnsiTheme="minorBidi" w:cstheme="minorBidi"/>
          <w:b/>
          <w:bCs/>
          <w:sz w:val="24"/>
          <w:szCs w:val="24"/>
        </w:rPr>
        <w:t>References</w:t>
      </w:r>
    </w:p>
    <w:p w14:paraId="05BD1895" w14:textId="77777777" w:rsidR="001377F2" w:rsidRPr="00345CE1" w:rsidRDefault="001377F2" w:rsidP="006F58D4">
      <w:pPr>
        <w:spacing w:after="240"/>
        <w:rPr>
          <w:rFonts w:asciiTheme="minorBidi" w:hAnsiTheme="minorBidi" w:cstheme="minorBidi"/>
        </w:rPr>
      </w:pPr>
      <w:r w:rsidRPr="00345CE1">
        <w:rPr>
          <w:rFonts w:asciiTheme="minorBidi" w:hAnsiTheme="minorBidi" w:cstheme="minorBidi"/>
        </w:rPr>
        <w:t xml:space="preserve">Willis, M., Marcantonio, T. L. and </w:t>
      </w:r>
      <w:proofErr w:type="spellStart"/>
      <w:r w:rsidRPr="00345CE1">
        <w:rPr>
          <w:rFonts w:asciiTheme="minorBidi" w:hAnsiTheme="minorBidi" w:cstheme="minorBidi"/>
        </w:rPr>
        <w:t>Jozkowski</w:t>
      </w:r>
      <w:proofErr w:type="spellEnd"/>
      <w:r w:rsidRPr="00345CE1">
        <w:rPr>
          <w:rFonts w:asciiTheme="minorBidi" w:hAnsiTheme="minorBidi" w:cstheme="minorBidi"/>
        </w:rPr>
        <w:t xml:space="preserve">, K. N. (2021) Internal and external sexual consent during events that involved alcohol, cannabis, or both. </w:t>
      </w:r>
      <w:r w:rsidRPr="00345CE1">
        <w:rPr>
          <w:rFonts w:asciiTheme="minorBidi" w:hAnsiTheme="minorBidi" w:cstheme="minorBidi"/>
          <w:i/>
          <w:iCs/>
        </w:rPr>
        <w:t>Sexual Health, 18</w:t>
      </w:r>
      <w:r w:rsidRPr="00345CE1">
        <w:rPr>
          <w:rFonts w:asciiTheme="minorBidi" w:hAnsiTheme="minorBidi" w:cstheme="minorBidi"/>
        </w:rPr>
        <w:t xml:space="preserve">(3), pp. 260-268. </w:t>
      </w:r>
    </w:p>
    <w:p w14:paraId="4264B172" w14:textId="77777777" w:rsidR="001377F2" w:rsidRPr="00345CE1" w:rsidRDefault="001377F2" w:rsidP="006F58D4">
      <w:pPr>
        <w:spacing w:after="240"/>
        <w:rPr>
          <w:rFonts w:asciiTheme="minorBidi" w:hAnsiTheme="minorBidi" w:cstheme="minorBidi"/>
        </w:rPr>
      </w:pPr>
      <w:r w:rsidRPr="00345CE1">
        <w:rPr>
          <w:rFonts w:asciiTheme="minorBidi" w:hAnsiTheme="minorBidi" w:cstheme="minorBidi"/>
        </w:rPr>
        <w:t xml:space="preserve">Mitchell K, Wellings K (2002). The role of ambiguity in sexual encounters between young people in England. </w:t>
      </w:r>
      <w:r w:rsidRPr="00345CE1">
        <w:rPr>
          <w:rFonts w:asciiTheme="minorBidi" w:hAnsiTheme="minorBidi" w:cstheme="minorBidi"/>
          <w:i/>
          <w:iCs/>
        </w:rPr>
        <w:t xml:space="preserve">Culture, </w:t>
      </w:r>
      <w:proofErr w:type="gramStart"/>
      <w:r w:rsidRPr="00345CE1">
        <w:rPr>
          <w:rFonts w:asciiTheme="minorBidi" w:hAnsiTheme="minorBidi" w:cstheme="minorBidi"/>
          <w:i/>
          <w:iCs/>
        </w:rPr>
        <w:t>Health</w:t>
      </w:r>
      <w:proofErr w:type="gramEnd"/>
      <w:r w:rsidRPr="00345CE1">
        <w:rPr>
          <w:rFonts w:asciiTheme="minorBidi" w:hAnsiTheme="minorBidi" w:cstheme="minorBidi"/>
          <w:i/>
          <w:iCs/>
        </w:rPr>
        <w:t xml:space="preserve"> and Sexuality, 4(4) 393-408.</w:t>
      </w:r>
    </w:p>
    <w:p w14:paraId="2BF8276D" w14:textId="77777777" w:rsidR="001377F2" w:rsidRPr="00345CE1" w:rsidRDefault="001377F2" w:rsidP="006F58D4">
      <w:pPr>
        <w:spacing w:after="240"/>
        <w:rPr>
          <w:rFonts w:asciiTheme="minorBidi" w:hAnsiTheme="minorBidi" w:cstheme="minorBidi"/>
        </w:rPr>
      </w:pPr>
      <w:r w:rsidRPr="00345CE1">
        <w:rPr>
          <w:rFonts w:asciiTheme="minorBidi" w:hAnsiTheme="minorBidi" w:cstheme="minorBidi"/>
        </w:rPr>
        <w:t xml:space="preserve">Mitchell, K., Lewis, R., O'Sullivan, L. F. &amp; Fortenberry, J. D. (2021). What is sexual wellbeing, and why does it matter for public health? </w:t>
      </w:r>
      <w:r w:rsidRPr="00345CE1">
        <w:rPr>
          <w:rFonts w:asciiTheme="minorBidi" w:hAnsiTheme="minorBidi" w:cstheme="minorBidi"/>
          <w:i/>
          <w:iCs/>
        </w:rPr>
        <w:t>Lancet Public Health, 6</w:t>
      </w:r>
      <w:r w:rsidRPr="00345CE1">
        <w:rPr>
          <w:rFonts w:asciiTheme="minorBidi" w:hAnsiTheme="minorBidi" w:cstheme="minorBidi"/>
        </w:rPr>
        <w:t>(8), e608-e613. (</w:t>
      </w:r>
      <w:proofErr w:type="spellStart"/>
      <w:r w:rsidRPr="00345CE1">
        <w:rPr>
          <w:rFonts w:asciiTheme="minorBidi" w:hAnsiTheme="minorBidi" w:cstheme="minorBidi"/>
        </w:rPr>
        <w:t>doi</w:t>
      </w:r>
      <w:proofErr w:type="spellEnd"/>
      <w:r w:rsidRPr="00345CE1">
        <w:rPr>
          <w:rFonts w:asciiTheme="minorBidi" w:hAnsiTheme="minorBidi" w:cstheme="minorBidi"/>
        </w:rPr>
        <w:t>: 10.1016/S2468-2667(21)00099-2) (PMID:34166629)</w:t>
      </w:r>
    </w:p>
    <w:p w14:paraId="6A0D3F3C" w14:textId="77777777" w:rsidR="001377F2" w:rsidRPr="00345CE1" w:rsidRDefault="001377F2" w:rsidP="006F58D4">
      <w:pPr>
        <w:spacing w:after="240"/>
        <w:rPr>
          <w:rFonts w:asciiTheme="minorBidi" w:hAnsiTheme="minorBidi" w:cstheme="minorBidi"/>
          <w:shd w:val="clear" w:color="auto" w:fill="FFFFFF"/>
        </w:rPr>
      </w:pPr>
      <w:r w:rsidRPr="00345CE1">
        <w:rPr>
          <w:rFonts w:asciiTheme="minorBidi" w:hAnsiTheme="minorBidi" w:cstheme="minorBidi"/>
          <w:shd w:val="clear" w:color="auto" w:fill="FFFFFF"/>
        </w:rPr>
        <w:t xml:space="preserve">Sweeting H, Blake C, Riddell J, Barrett S, Mitchell KR (2022) Sexual harassment in secondary school: Prevalence and ambiguities. A mixed methods study in Scottish schools. </w:t>
      </w:r>
      <w:proofErr w:type="spellStart"/>
      <w:r w:rsidRPr="00345CE1">
        <w:rPr>
          <w:rFonts w:asciiTheme="minorBidi" w:hAnsiTheme="minorBidi" w:cstheme="minorBidi"/>
          <w:shd w:val="clear" w:color="auto" w:fill="FFFFFF"/>
        </w:rPr>
        <w:t>PLoS</w:t>
      </w:r>
      <w:proofErr w:type="spellEnd"/>
      <w:r w:rsidRPr="00345CE1">
        <w:rPr>
          <w:rFonts w:asciiTheme="minorBidi" w:hAnsiTheme="minorBidi" w:cstheme="minorBidi"/>
          <w:shd w:val="clear" w:color="auto" w:fill="FFFFFF"/>
        </w:rPr>
        <w:t xml:space="preserve"> ONE 17(2): e0262248. </w:t>
      </w:r>
      <w:hyperlink r:id="rId10" w:history="1">
        <w:r w:rsidRPr="00345CE1">
          <w:rPr>
            <w:rStyle w:val="Hyperlink"/>
            <w:rFonts w:asciiTheme="minorBidi" w:hAnsiTheme="minorBidi" w:cstheme="minorBidi"/>
            <w:color w:val="auto"/>
            <w:shd w:val="clear" w:color="auto" w:fill="FFFFFF"/>
          </w:rPr>
          <w:t>https://doi.org/10.1371/journal.pone.0262248</w:t>
        </w:r>
      </w:hyperlink>
    </w:p>
    <w:p w14:paraId="193FDB4F" w14:textId="77777777" w:rsidR="001377F2" w:rsidRPr="00345CE1" w:rsidRDefault="001377F2" w:rsidP="006F58D4">
      <w:pPr>
        <w:spacing w:after="240"/>
        <w:rPr>
          <w:rFonts w:asciiTheme="minorBidi" w:hAnsiTheme="minorBidi" w:cstheme="minorBidi"/>
        </w:rPr>
      </w:pPr>
      <w:r w:rsidRPr="00345CE1">
        <w:rPr>
          <w:rFonts w:asciiTheme="minorBidi" w:hAnsiTheme="minorBidi" w:cstheme="minorBidi"/>
          <w:shd w:val="clear" w:color="auto" w:fill="FFFFFF"/>
        </w:rPr>
        <w:t>Mitchell, K. R., Geary, R., Graham, C., Clifton, S., Mercer, C. H., Lewis, R., Macdowall, W., Datta, J., Johnson, A. M., &amp; Wellings, K. (2016). Sexual Function in 16- to 21-Year-Olds in Britain. </w:t>
      </w:r>
      <w:r w:rsidRPr="00345CE1">
        <w:rPr>
          <w:rFonts w:asciiTheme="minorBidi" w:hAnsiTheme="minorBidi" w:cstheme="minorBidi"/>
          <w:i/>
          <w:iCs/>
          <w:shd w:val="clear" w:color="auto" w:fill="FFFFFF"/>
        </w:rPr>
        <w:t xml:space="preserve">The Journal of adolescent </w:t>
      </w:r>
      <w:proofErr w:type="gramStart"/>
      <w:r w:rsidRPr="00345CE1">
        <w:rPr>
          <w:rFonts w:asciiTheme="minorBidi" w:hAnsiTheme="minorBidi" w:cstheme="minorBidi"/>
          <w:i/>
          <w:iCs/>
          <w:shd w:val="clear" w:color="auto" w:fill="FFFFFF"/>
        </w:rPr>
        <w:t>health :</w:t>
      </w:r>
      <w:proofErr w:type="gramEnd"/>
      <w:r w:rsidRPr="00345CE1">
        <w:rPr>
          <w:rFonts w:asciiTheme="minorBidi" w:hAnsiTheme="minorBidi" w:cstheme="minorBidi"/>
          <w:i/>
          <w:iCs/>
          <w:shd w:val="clear" w:color="auto" w:fill="FFFFFF"/>
        </w:rPr>
        <w:t xml:space="preserve"> official publication of the Society for Adolescent Medicine</w:t>
      </w:r>
      <w:r w:rsidRPr="00345CE1">
        <w:rPr>
          <w:rFonts w:asciiTheme="minorBidi" w:hAnsiTheme="minorBidi" w:cstheme="minorBidi"/>
          <w:shd w:val="clear" w:color="auto" w:fill="FFFFFF"/>
        </w:rPr>
        <w:t>, </w:t>
      </w:r>
      <w:r w:rsidRPr="00345CE1">
        <w:rPr>
          <w:rFonts w:asciiTheme="minorBidi" w:hAnsiTheme="minorBidi" w:cstheme="minorBidi"/>
          <w:i/>
          <w:iCs/>
          <w:shd w:val="clear" w:color="auto" w:fill="FFFFFF"/>
        </w:rPr>
        <w:t>59</w:t>
      </w:r>
      <w:r w:rsidRPr="00345CE1">
        <w:rPr>
          <w:rFonts w:asciiTheme="minorBidi" w:hAnsiTheme="minorBidi" w:cstheme="minorBidi"/>
          <w:shd w:val="clear" w:color="auto" w:fill="FFFFFF"/>
        </w:rPr>
        <w:t>(4), 422–428. https://doi.org/10.1016/j.jadohealth.2016.05.017</w:t>
      </w:r>
    </w:p>
    <w:p w14:paraId="41CD1880" w14:textId="77777777" w:rsidR="001377F2" w:rsidRPr="00345CE1" w:rsidRDefault="001377F2" w:rsidP="006F58D4">
      <w:pPr>
        <w:spacing w:after="240"/>
        <w:rPr>
          <w:rFonts w:asciiTheme="minorBidi" w:hAnsiTheme="minorBidi" w:cstheme="minorBidi"/>
        </w:rPr>
      </w:pPr>
      <w:r w:rsidRPr="00345CE1">
        <w:rPr>
          <w:rFonts w:asciiTheme="minorBidi" w:hAnsiTheme="minorBidi" w:cstheme="minorBidi"/>
        </w:rPr>
        <w:t xml:space="preserve">Purcell, C., McDaid, L., Forsyth, R., Simpson, S. A., Elliott, L., Bailey, J. V., Moore, L. &amp; Mitchell, K. R. (2023) A peer-led, school-based social network intervention for young people in the UK, promoting sexual health via social media and conversations with friends: intervention development and optimisation of STASH. </w:t>
      </w:r>
      <w:r w:rsidRPr="00345CE1">
        <w:rPr>
          <w:rFonts w:asciiTheme="minorBidi" w:hAnsiTheme="minorBidi" w:cstheme="minorBidi"/>
          <w:i/>
          <w:iCs/>
        </w:rPr>
        <w:t>BMC Public Health, 23</w:t>
      </w:r>
      <w:r w:rsidRPr="00345CE1">
        <w:rPr>
          <w:rFonts w:asciiTheme="minorBidi" w:hAnsiTheme="minorBidi" w:cstheme="minorBidi"/>
        </w:rPr>
        <w:t>, 675. (</w:t>
      </w:r>
      <w:proofErr w:type="spellStart"/>
      <w:r w:rsidRPr="00345CE1">
        <w:rPr>
          <w:rFonts w:asciiTheme="minorBidi" w:hAnsiTheme="minorBidi" w:cstheme="minorBidi"/>
        </w:rPr>
        <w:t>doi</w:t>
      </w:r>
      <w:proofErr w:type="spellEnd"/>
      <w:r w:rsidRPr="00345CE1">
        <w:rPr>
          <w:rFonts w:asciiTheme="minorBidi" w:hAnsiTheme="minorBidi" w:cstheme="minorBidi"/>
        </w:rPr>
        <w:t>: 10.1186/s12889-023-15541-x)</w:t>
      </w:r>
    </w:p>
    <w:p w14:paraId="7431C62E" w14:textId="77777777" w:rsidR="001377F2" w:rsidRPr="00345CE1" w:rsidRDefault="001377F2" w:rsidP="006F58D4">
      <w:pPr>
        <w:spacing w:after="240"/>
        <w:rPr>
          <w:rFonts w:asciiTheme="minorBidi" w:hAnsiTheme="minorBidi" w:cstheme="minorBidi"/>
        </w:rPr>
      </w:pPr>
      <w:r w:rsidRPr="00345CE1">
        <w:rPr>
          <w:rFonts w:asciiTheme="minorBidi" w:hAnsiTheme="minorBidi" w:cstheme="minorBidi"/>
        </w:rPr>
        <w:t xml:space="preserve">Mitchell, K. et al. (2020) A peer-led intervention to promote sexual health in secondary schools: the STASH feasibility study. </w:t>
      </w:r>
      <w:r w:rsidRPr="00345CE1">
        <w:rPr>
          <w:rFonts w:asciiTheme="minorBidi" w:hAnsiTheme="minorBidi" w:cstheme="minorBidi"/>
          <w:i/>
          <w:iCs/>
        </w:rPr>
        <w:t>Public Health Research, 8</w:t>
      </w:r>
      <w:r w:rsidRPr="00345CE1">
        <w:rPr>
          <w:rFonts w:asciiTheme="minorBidi" w:hAnsiTheme="minorBidi" w:cstheme="minorBidi"/>
        </w:rPr>
        <w:t>(15), (</w:t>
      </w:r>
      <w:proofErr w:type="spellStart"/>
      <w:r w:rsidRPr="00345CE1">
        <w:rPr>
          <w:rFonts w:asciiTheme="minorBidi" w:hAnsiTheme="minorBidi" w:cstheme="minorBidi"/>
        </w:rPr>
        <w:t>doi</w:t>
      </w:r>
      <w:proofErr w:type="spellEnd"/>
      <w:r w:rsidRPr="00345CE1">
        <w:rPr>
          <w:rFonts w:asciiTheme="minorBidi" w:hAnsiTheme="minorBidi" w:cstheme="minorBidi"/>
        </w:rPr>
        <w:t xml:space="preserve">: 10.3310/phr08150) </w:t>
      </w:r>
    </w:p>
    <w:p w14:paraId="348CD131" w14:textId="77777777" w:rsidR="001377F2" w:rsidRPr="00345CE1" w:rsidRDefault="001377F2" w:rsidP="006F58D4">
      <w:pPr>
        <w:spacing w:after="240"/>
        <w:rPr>
          <w:rFonts w:asciiTheme="minorBidi" w:hAnsiTheme="minorBidi" w:cstheme="minorBidi"/>
        </w:rPr>
      </w:pPr>
      <w:r w:rsidRPr="00345CE1">
        <w:rPr>
          <w:rFonts w:asciiTheme="minorBidi" w:hAnsiTheme="minorBidi" w:cstheme="minorBidi"/>
        </w:rPr>
        <w:t xml:space="preserve">Patterson, S., McDaid, L., Hunt, K., Hilton, S., Flowers, P., McMillan, L., Milne, D. &amp; Lorimer, K. (2020) How men and women learn about sex: multi-generational perspectives on </w:t>
      </w:r>
      <w:r w:rsidRPr="00345CE1">
        <w:rPr>
          <w:rFonts w:asciiTheme="minorBidi" w:hAnsiTheme="minorBidi" w:cstheme="minorBidi"/>
        </w:rPr>
        <w:lastRenderedPageBreak/>
        <w:t xml:space="preserve">insufficient preparedness and prevailing gender norms in Scotland. </w:t>
      </w:r>
      <w:r w:rsidRPr="00345CE1">
        <w:rPr>
          <w:rFonts w:asciiTheme="minorBidi" w:hAnsiTheme="minorBidi" w:cstheme="minorBidi"/>
          <w:i/>
          <w:iCs/>
        </w:rPr>
        <w:t>Sex Education, 20</w:t>
      </w:r>
      <w:r w:rsidRPr="00345CE1">
        <w:rPr>
          <w:rFonts w:asciiTheme="minorBidi" w:hAnsiTheme="minorBidi" w:cstheme="minorBidi"/>
        </w:rPr>
        <w:t>(4), pp. 441-456. (</w:t>
      </w:r>
      <w:proofErr w:type="spellStart"/>
      <w:r w:rsidRPr="00345CE1">
        <w:rPr>
          <w:rFonts w:asciiTheme="minorBidi" w:hAnsiTheme="minorBidi" w:cstheme="minorBidi"/>
        </w:rPr>
        <w:t>doi</w:t>
      </w:r>
      <w:proofErr w:type="spellEnd"/>
      <w:r w:rsidRPr="00345CE1">
        <w:rPr>
          <w:rFonts w:asciiTheme="minorBidi" w:hAnsiTheme="minorBidi" w:cstheme="minorBidi"/>
        </w:rPr>
        <w:t xml:space="preserve">: 10.1080/14681811.2019.1683534) </w:t>
      </w:r>
    </w:p>
    <w:p w14:paraId="19420FA8" w14:textId="77777777" w:rsidR="001377F2" w:rsidRPr="00345CE1" w:rsidRDefault="001377F2" w:rsidP="006F58D4">
      <w:pPr>
        <w:spacing w:after="240"/>
        <w:rPr>
          <w:rFonts w:asciiTheme="minorBidi" w:hAnsiTheme="minorBidi" w:cstheme="minorBidi"/>
        </w:rPr>
      </w:pPr>
      <w:r w:rsidRPr="00345CE1">
        <w:rPr>
          <w:rFonts w:asciiTheme="minorBidi" w:hAnsiTheme="minorBidi" w:cstheme="minorBidi"/>
        </w:rPr>
        <w:t xml:space="preserve">Tanton, C. et al. (2015) Patterns and trends in sources of information about sex among young people in Britain: evidence from three National Surveys of Sexual Attitudes and Lifestyles. </w:t>
      </w:r>
      <w:r w:rsidRPr="00345CE1">
        <w:rPr>
          <w:rFonts w:asciiTheme="minorBidi" w:hAnsiTheme="minorBidi" w:cstheme="minorBidi"/>
          <w:i/>
          <w:iCs/>
        </w:rPr>
        <w:t>BMJ Open, 5</w:t>
      </w:r>
      <w:r w:rsidRPr="00345CE1">
        <w:rPr>
          <w:rFonts w:asciiTheme="minorBidi" w:hAnsiTheme="minorBidi" w:cstheme="minorBidi"/>
        </w:rPr>
        <w:t>(3), e007834. (</w:t>
      </w:r>
      <w:proofErr w:type="spellStart"/>
      <w:r w:rsidRPr="00345CE1">
        <w:rPr>
          <w:rFonts w:asciiTheme="minorBidi" w:hAnsiTheme="minorBidi" w:cstheme="minorBidi"/>
        </w:rPr>
        <w:t>doi</w:t>
      </w:r>
      <w:proofErr w:type="spellEnd"/>
      <w:r w:rsidRPr="00345CE1">
        <w:rPr>
          <w:rFonts w:asciiTheme="minorBidi" w:hAnsiTheme="minorBidi" w:cstheme="minorBidi"/>
        </w:rPr>
        <w:t>: 10.1136/bmjopen-2015-007834)</w:t>
      </w:r>
    </w:p>
    <w:p w14:paraId="165F651E" w14:textId="77777777" w:rsidR="001377F2" w:rsidRDefault="001377F2" w:rsidP="006F58D4">
      <w:pPr>
        <w:pStyle w:val="Heading2"/>
        <w:rPr>
          <w:rFonts w:asciiTheme="minorBidi" w:eastAsiaTheme="minorEastAsia" w:hAnsiTheme="minorBidi" w:cstheme="minorBidi"/>
          <w:b/>
          <w:bCs/>
          <w:color w:val="auto"/>
          <w:sz w:val="24"/>
          <w:szCs w:val="24"/>
        </w:rPr>
      </w:pPr>
      <w:r w:rsidRPr="00DF4BDA">
        <w:rPr>
          <w:rFonts w:asciiTheme="minorBidi" w:eastAsiaTheme="minorEastAsia" w:hAnsiTheme="minorBidi" w:cstheme="minorBidi"/>
          <w:b/>
          <w:bCs/>
          <w:color w:val="auto"/>
          <w:sz w:val="24"/>
          <w:szCs w:val="24"/>
        </w:rPr>
        <w:t>Question 7: Gender Inclusive Education</w:t>
      </w:r>
    </w:p>
    <w:p w14:paraId="589A6B9B" w14:textId="77777777" w:rsidR="00433AD3" w:rsidRPr="00433AD3" w:rsidRDefault="00433AD3" w:rsidP="006F58D4">
      <w:pPr>
        <w:rPr>
          <w:lang w:eastAsia="zh-CN"/>
        </w:rPr>
      </w:pPr>
    </w:p>
    <w:p w14:paraId="64B6F581" w14:textId="3DF29D36" w:rsidR="001377F2" w:rsidRPr="00DF4BDA" w:rsidRDefault="001377F2" w:rsidP="006F58D4">
      <w:pPr>
        <w:pStyle w:val="Heading3"/>
        <w:numPr>
          <w:ilvl w:val="0"/>
          <w:numId w:val="12"/>
        </w:numPr>
        <w:tabs>
          <w:tab w:val="num" w:pos="720"/>
        </w:tabs>
        <w:rPr>
          <w:rFonts w:asciiTheme="minorBidi" w:eastAsiaTheme="minorEastAsia" w:hAnsiTheme="minorBidi" w:cstheme="minorBidi"/>
          <w:color w:val="auto"/>
        </w:rPr>
      </w:pPr>
      <w:r w:rsidRPr="00DF4BDA">
        <w:rPr>
          <w:rFonts w:asciiTheme="minorBidi" w:eastAsiaTheme="minorEastAsia" w:hAnsiTheme="minorBidi" w:cstheme="minorBidi"/>
          <w:color w:val="auto"/>
        </w:rPr>
        <w:t xml:space="preserve">Is the guidance sufficiently clear in ensuring gender inclusive language is used to deliver RSHP education? </w:t>
      </w:r>
      <w:r w:rsidRPr="00BC775E">
        <w:rPr>
          <w:rFonts w:asciiTheme="minorBidi" w:eastAsiaTheme="minorEastAsia" w:hAnsiTheme="minorBidi" w:cstheme="minorBidi"/>
          <w:color w:val="auto"/>
          <w:highlight w:val="yellow"/>
        </w:rPr>
        <w:t>Yes</w:t>
      </w:r>
    </w:p>
    <w:p w14:paraId="327B0CCA" w14:textId="77777777" w:rsidR="001377F2" w:rsidRPr="00DF4BDA" w:rsidRDefault="001377F2" w:rsidP="006F58D4">
      <w:pPr>
        <w:rPr>
          <w:rFonts w:asciiTheme="minorBidi" w:hAnsiTheme="minorBidi" w:cstheme="minorBidi"/>
          <w:sz w:val="24"/>
          <w:szCs w:val="24"/>
        </w:rPr>
      </w:pPr>
    </w:p>
    <w:p w14:paraId="35A67D8C" w14:textId="77777777" w:rsidR="001377F2" w:rsidRPr="00DF4BDA"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We agree that children receive multiple limiting gendered messages and that these are important to tackle. A randomised trial found that, compared to standard RSE, a gender-transformative relationships and sex education intervention focused on engaging men in pregnancy prevention (the If I Were Jack resource) increased the use of reliable contraception (Lohan </w:t>
      </w:r>
      <w:r w:rsidRPr="00DF4BDA">
        <w:rPr>
          <w:rFonts w:asciiTheme="minorBidi" w:hAnsiTheme="minorBidi" w:cstheme="minorBidi"/>
          <w:i/>
          <w:iCs/>
          <w:sz w:val="24"/>
          <w:szCs w:val="24"/>
        </w:rPr>
        <w:t>et al.</w:t>
      </w:r>
      <w:r w:rsidRPr="00DF4BDA">
        <w:rPr>
          <w:rFonts w:asciiTheme="minorBidi" w:hAnsiTheme="minorBidi" w:cstheme="minorBidi"/>
          <w:sz w:val="24"/>
          <w:szCs w:val="24"/>
        </w:rPr>
        <w:t xml:space="preserve"> 2023). </w:t>
      </w:r>
    </w:p>
    <w:p w14:paraId="392030A5" w14:textId="77777777" w:rsidR="00345CE1" w:rsidRDefault="00345CE1" w:rsidP="006F58D4">
      <w:pPr>
        <w:rPr>
          <w:rFonts w:asciiTheme="minorBidi" w:hAnsiTheme="minorBidi" w:cstheme="minorBidi"/>
          <w:sz w:val="24"/>
          <w:szCs w:val="24"/>
        </w:rPr>
      </w:pPr>
    </w:p>
    <w:p w14:paraId="4F2B275F" w14:textId="60F1D90A"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We additionally agree on the importance of taking a whole school approach to gender inclusive education, as delivery of programmes can be undermined if there isn’t sufficient school engagement, staff involvement and building of content into lessons (</w:t>
      </w:r>
      <w:proofErr w:type="spellStart"/>
      <w:r w:rsidRPr="00DF4BDA">
        <w:rPr>
          <w:rFonts w:asciiTheme="minorBidi" w:hAnsiTheme="minorBidi" w:cstheme="minorBidi"/>
          <w:sz w:val="24"/>
          <w:szCs w:val="24"/>
        </w:rPr>
        <w:t>Meiksin</w:t>
      </w:r>
      <w:proofErr w:type="spellEnd"/>
      <w:r w:rsidRPr="00DF4BDA">
        <w:rPr>
          <w:rFonts w:asciiTheme="minorBidi" w:hAnsiTheme="minorBidi" w:cstheme="minorBidi"/>
          <w:sz w:val="24"/>
          <w:szCs w:val="24"/>
        </w:rPr>
        <w:t xml:space="preserve"> </w:t>
      </w:r>
      <w:r w:rsidRPr="00DF4BDA">
        <w:rPr>
          <w:rFonts w:asciiTheme="minorBidi" w:hAnsiTheme="minorBidi" w:cstheme="minorBidi"/>
          <w:i/>
          <w:iCs/>
          <w:sz w:val="24"/>
          <w:szCs w:val="24"/>
        </w:rPr>
        <w:t>et al.</w:t>
      </w:r>
      <w:r w:rsidRPr="00DF4BDA">
        <w:rPr>
          <w:rFonts w:asciiTheme="minorBidi" w:hAnsiTheme="minorBidi" w:cstheme="minorBidi"/>
          <w:sz w:val="24"/>
          <w:szCs w:val="24"/>
        </w:rPr>
        <w:t>, 2020).</w:t>
      </w:r>
    </w:p>
    <w:p w14:paraId="702B8017" w14:textId="77777777" w:rsidR="00BC775E" w:rsidRPr="00DF4BDA" w:rsidRDefault="00BC775E" w:rsidP="006F58D4">
      <w:pPr>
        <w:rPr>
          <w:rFonts w:asciiTheme="minorBidi" w:hAnsiTheme="minorBidi" w:cstheme="minorBidi"/>
          <w:sz w:val="24"/>
          <w:szCs w:val="24"/>
        </w:rPr>
      </w:pPr>
    </w:p>
    <w:p w14:paraId="4592343D" w14:textId="77777777" w:rsidR="001377F2" w:rsidRPr="00DF4BDA"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Although later referred to in 3.21, there appears to be no specific guidance here on data sharing with parents. This includes managing data sharing with young people whose parents are separated, and the practicalities of managing reporting systems such as SEEMIS with more than one address. To protect young people’s wellbeing, where one parent is aware of a change in gender </w:t>
      </w:r>
      <w:proofErr w:type="gramStart"/>
      <w:r w:rsidRPr="00DF4BDA">
        <w:rPr>
          <w:rFonts w:asciiTheme="minorBidi" w:hAnsiTheme="minorBidi" w:cstheme="minorBidi"/>
          <w:sz w:val="24"/>
          <w:szCs w:val="24"/>
        </w:rPr>
        <w:t>identity</w:t>
      </w:r>
      <w:proofErr w:type="gramEnd"/>
      <w:r w:rsidRPr="00DF4BDA">
        <w:rPr>
          <w:rFonts w:asciiTheme="minorBidi" w:hAnsiTheme="minorBidi" w:cstheme="minorBidi"/>
          <w:sz w:val="24"/>
          <w:szCs w:val="24"/>
        </w:rPr>
        <w:t xml:space="preserve"> but the other isn’t, clear guidance is essential to support school staff and systems to act in the best interests of the child.</w:t>
      </w:r>
    </w:p>
    <w:p w14:paraId="403D4C64" w14:textId="77777777" w:rsidR="001377F2" w:rsidRPr="00DF4BDA" w:rsidRDefault="001377F2" w:rsidP="006F58D4">
      <w:pPr>
        <w:rPr>
          <w:rFonts w:asciiTheme="minorBidi" w:hAnsiTheme="minorBidi" w:cstheme="minorBidi"/>
          <w:b/>
          <w:bCs/>
          <w:sz w:val="24"/>
          <w:szCs w:val="24"/>
        </w:rPr>
      </w:pPr>
    </w:p>
    <w:p w14:paraId="3BE7B732" w14:textId="18881630" w:rsidR="001377F2" w:rsidRPr="00DF4BDA" w:rsidRDefault="001377F2" w:rsidP="006F58D4">
      <w:pPr>
        <w:rPr>
          <w:rFonts w:asciiTheme="minorBidi" w:hAnsiTheme="minorBidi" w:cstheme="minorBidi"/>
          <w:b/>
          <w:bCs/>
          <w:sz w:val="24"/>
          <w:szCs w:val="24"/>
        </w:rPr>
      </w:pPr>
      <w:r w:rsidRPr="00DF4BDA">
        <w:rPr>
          <w:rFonts w:asciiTheme="minorBidi" w:hAnsiTheme="minorBidi" w:cstheme="minorBidi"/>
          <w:b/>
          <w:bCs/>
          <w:sz w:val="24"/>
          <w:szCs w:val="24"/>
        </w:rPr>
        <w:t>References</w:t>
      </w:r>
    </w:p>
    <w:p w14:paraId="55C9B35A" w14:textId="77777777" w:rsidR="001377F2" w:rsidRPr="00DF4BDA" w:rsidRDefault="001377F2" w:rsidP="006F58D4">
      <w:pPr>
        <w:rPr>
          <w:rFonts w:asciiTheme="minorBidi" w:eastAsia="Lato" w:hAnsiTheme="minorBidi" w:cstheme="minorBidi"/>
          <w:sz w:val="24"/>
          <w:szCs w:val="24"/>
        </w:rPr>
      </w:pPr>
    </w:p>
    <w:p w14:paraId="11ECEBAD" w14:textId="1D22A968" w:rsidR="001377F2" w:rsidRPr="00345CE1" w:rsidRDefault="001377F2" w:rsidP="006F58D4">
      <w:pPr>
        <w:rPr>
          <w:rFonts w:asciiTheme="minorBidi" w:eastAsia="Lato" w:hAnsiTheme="minorBidi" w:cstheme="minorBidi"/>
        </w:rPr>
      </w:pPr>
      <w:r w:rsidRPr="00345CE1">
        <w:rPr>
          <w:rFonts w:asciiTheme="minorBidi" w:eastAsia="Lato" w:hAnsiTheme="minorBidi" w:cstheme="minorBidi"/>
        </w:rPr>
        <w:t xml:space="preserve">Lohan M, Gillespie K, Aventin A, Gough A, Warren E, Lewis R, </w:t>
      </w:r>
      <w:r w:rsidRPr="00345CE1">
        <w:rPr>
          <w:rFonts w:asciiTheme="minorBidi" w:eastAsia="Lato" w:hAnsiTheme="minorBidi" w:cstheme="minorBidi"/>
          <w:i/>
          <w:iCs/>
        </w:rPr>
        <w:t>et al.</w:t>
      </w:r>
      <w:r w:rsidRPr="00345CE1">
        <w:rPr>
          <w:rFonts w:asciiTheme="minorBidi" w:eastAsia="Lato" w:hAnsiTheme="minorBidi" w:cstheme="minorBidi"/>
        </w:rPr>
        <w:t xml:space="preserve"> School-based </w:t>
      </w:r>
      <w:proofErr w:type="gramStart"/>
      <w:r w:rsidRPr="00345CE1">
        <w:rPr>
          <w:rFonts w:asciiTheme="minorBidi" w:eastAsia="Lato" w:hAnsiTheme="minorBidi" w:cstheme="minorBidi"/>
        </w:rPr>
        <w:t>relationship</w:t>
      </w:r>
      <w:proofErr w:type="gramEnd"/>
      <w:r w:rsidRPr="00345CE1">
        <w:rPr>
          <w:rFonts w:asciiTheme="minorBidi" w:eastAsia="Lato" w:hAnsiTheme="minorBidi" w:cstheme="minorBidi"/>
        </w:rPr>
        <w:t xml:space="preserve"> and sexuality education intervention engaging adolescent boys for the reductions of teenage pregnancy: the JACK cluster RCT. </w:t>
      </w:r>
      <w:r w:rsidRPr="00345CE1">
        <w:rPr>
          <w:rFonts w:asciiTheme="minorBidi" w:eastAsia="Lato" w:hAnsiTheme="minorBidi" w:cstheme="minorBidi"/>
          <w:i/>
          <w:iCs/>
        </w:rPr>
        <w:t>Public Health Res</w:t>
      </w:r>
      <w:r w:rsidRPr="00345CE1">
        <w:rPr>
          <w:rFonts w:asciiTheme="minorBidi" w:eastAsia="Lato" w:hAnsiTheme="minorBidi" w:cstheme="minorBidi"/>
        </w:rPr>
        <w:t xml:space="preserve"> 2023;11(8)</w:t>
      </w:r>
    </w:p>
    <w:p w14:paraId="2EC73943" w14:textId="77777777" w:rsidR="001377F2" w:rsidRPr="00345CE1" w:rsidRDefault="001377F2" w:rsidP="006F58D4">
      <w:pPr>
        <w:rPr>
          <w:rStyle w:val="authorname"/>
          <w:rFonts w:asciiTheme="minorBidi" w:hAnsiTheme="minorBidi" w:cstheme="minorBidi"/>
          <w:shd w:val="clear" w:color="auto" w:fill="FFFFFF"/>
        </w:rPr>
      </w:pPr>
    </w:p>
    <w:p w14:paraId="4919FEE0" w14:textId="35F262DB" w:rsidR="001377F2" w:rsidRPr="00345CE1" w:rsidRDefault="001377F2" w:rsidP="006F58D4">
      <w:pPr>
        <w:rPr>
          <w:rFonts w:asciiTheme="minorBidi" w:eastAsia="Calibri" w:hAnsiTheme="minorBidi" w:cstheme="minorBidi"/>
        </w:rPr>
      </w:pPr>
      <w:proofErr w:type="spellStart"/>
      <w:r w:rsidRPr="00345CE1">
        <w:rPr>
          <w:rStyle w:val="authorname"/>
          <w:rFonts w:asciiTheme="minorBidi" w:hAnsiTheme="minorBidi" w:cstheme="minorBidi"/>
          <w:shd w:val="clear" w:color="auto" w:fill="FFFFFF"/>
        </w:rPr>
        <w:t>Meiksin</w:t>
      </w:r>
      <w:proofErr w:type="spellEnd"/>
      <w:r w:rsidRPr="00345CE1">
        <w:rPr>
          <w:rStyle w:val="separator"/>
          <w:rFonts w:asciiTheme="minorBidi" w:hAnsiTheme="minorBidi" w:cstheme="minorBidi"/>
          <w:shd w:val="clear" w:color="auto" w:fill="FFFFFF"/>
        </w:rPr>
        <w:t xml:space="preserve">, R., </w:t>
      </w:r>
      <w:r w:rsidRPr="00345CE1">
        <w:rPr>
          <w:rStyle w:val="authorname"/>
          <w:rFonts w:asciiTheme="minorBidi" w:hAnsiTheme="minorBidi" w:cstheme="minorBidi"/>
          <w:shd w:val="clear" w:color="auto" w:fill="FFFFFF"/>
        </w:rPr>
        <w:t>Campbell</w:t>
      </w:r>
      <w:r w:rsidRPr="00345CE1">
        <w:rPr>
          <w:rStyle w:val="separator"/>
          <w:rFonts w:asciiTheme="minorBidi" w:hAnsiTheme="minorBidi" w:cstheme="minorBidi"/>
          <w:shd w:val="clear" w:color="auto" w:fill="FFFFFF"/>
        </w:rPr>
        <w:t xml:space="preserve">, R., </w:t>
      </w:r>
      <w:r w:rsidRPr="00345CE1">
        <w:rPr>
          <w:rStyle w:val="authorname"/>
          <w:rFonts w:asciiTheme="minorBidi" w:hAnsiTheme="minorBidi" w:cstheme="minorBidi"/>
          <w:shd w:val="clear" w:color="auto" w:fill="FFFFFF"/>
        </w:rPr>
        <w:t>Crichton</w:t>
      </w:r>
      <w:r w:rsidRPr="00345CE1">
        <w:rPr>
          <w:rStyle w:val="separator"/>
          <w:rFonts w:asciiTheme="minorBidi" w:hAnsiTheme="minorBidi" w:cstheme="minorBidi"/>
          <w:shd w:val="clear" w:color="auto" w:fill="FFFFFF"/>
        </w:rPr>
        <w:t xml:space="preserve">, J., </w:t>
      </w:r>
      <w:r w:rsidRPr="00345CE1">
        <w:rPr>
          <w:rStyle w:val="authorname"/>
          <w:rFonts w:asciiTheme="minorBidi" w:hAnsiTheme="minorBidi" w:cstheme="minorBidi"/>
          <w:shd w:val="clear" w:color="auto" w:fill="FFFFFF"/>
        </w:rPr>
        <w:t>Morgan</w:t>
      </w:r>
      <w:r w:rsidRPr="00345CE1">
        <w:rPr>
          <w:rStyle w:val="separator"/>
          <w:rFonts w:asciiTheme="minorBidi" w:hAnsiTheme="minorBidi" w:cstheme="minorBidi"/>
          <w:shd w:val="clear" w:color="auto" w:fill="FFFFFF"/>
        </w:rPr>
        <w:t xml:space="preserve">, G.S., Williams, P., </w:t>
      </w:r>
      <w:r w:rsidRPr="00345CE1">
        <w:rPr>
          <w:rStyle w:val="authorname"/>
          <w:rFonts w:asciiTheme="minorBidi" w:hAnsiTheme="minorBidi" w:cstheme="minorBidi"/>
          <w:shd w:val="clear" w:color="auto" w:fill="FFFFFF"/>
        </w:rPr>
        <w:t>Willmott</w:t>
      </w:r>
      <w:r w:rsidRPr="00345CE1">
        <w:rPr>
          <w:rStyle w:val="separator"/>
          <w:rFonts w:asciiTheme="minorBidi" w:hAnsiTheme="minorBidi" w:cstheme="minorBidi"/>
          <w:shd w:val="clear" w:color="auto" w:fill="FFFFFF"/>
        </w:rPr>
        <w:t xml:space="preserve">, M. </w:t>
      </w:r>
      <w:r w:rsidRPr="00345CE1">
        <w:rPr>
          <w:rStyle w:val="separator"/>
          <w:rFonts w:asciiTheme="minorBidi" w:hAnsiTheme="minorBidi" w:cstheme="minorBidi"/>
          <w:i/>
          <w:iCs/>
          <w:shd w:val="clear" w:color="auto" w:fill="FFFFFF"/>
        </w:rPr>
        <w:t>et al.</w:t>
      </w:r>
      <w:r w:rsidRPr="00345CE1">
        <w:rPr>
          <w:rStyle w:val="separator"/>
          <w:rFonts w:asciiTheme="minorBidi" w:hAnsiTheme="minorBidi" w:cstheme="minorBidi"/>
          <w:shd w:val="clear" w:color="auto" w:fill="FFFFFF"/>
        </w:rPr>
        <w:t> </w:t>
      </w:r>
      <w:r w:rsidRPr="00345CE1">
        <w:rPr>
          <w:rStyle w:val="Date1"/>
          <w:rFonts w:asciiTheme="minorBidi" w:hAnsiTheme="minorBidi" w:cstheme="minorBidi"/>
          <w:shd w:val="clear" w:color="auto" w:fill="FFFFFF"/>
        </w:rPr>
        <w:t xml:space="preserve"> (2020)</w:t>
      </w:r>
      <w:r w:rsidRPr="00345CE1">
        <w:rPr>
          <w:rFonts w:asciiTheme="minorBidi" w:hAnsiTheme="minorBidi" w:cstheme="minorBidi"/>
          <w:shd w:val="clear" w:color="auto" w:fill="FFFFFF"/>
        </w:rPr>
        <w:t> </w:t>
      </w:r>
      <w:r w:rsidRPr="00345CE1">
        <w:rPr>
          <w:rStyle w:val="arttitle"/>
          <w:rFonts w:asciiTheme="minorBidi" w:hAnsiTheme="minorBidi" w:cstheme="minorBidi"/>
          <w:shd w:val="clear" w:color="auto" w:fill="FFFFFF"/>
        </w:rPr>
        <w:t>Implementing a whole-school relationships and sex education intervention to prevent dating and relationship violence: evidence from a pilot trial in English secondary schools,</w:t>
      </w:r>
      <w:r w:rsidRPr="00345CE1">
        <w:rPr>
          <w:rFonts w:asciiTheme="minorBidi" w:hAnsiTheme="minorBidi" w:cstheme="minorBidi"/>
          <w:shd w:val="clear" w:color="auto" w:fill="FFFFFF"/>
        </w:rPr>
        <w:t> </w:t>
      </w:r>
      <w:r w:rsidRPr="00345CE1">
        <w:rPr>
          <w:rStyle w:val="serialtitle"/>
          <w:rFonts w:asciiTheme="minorBidi" w:hAnsiTheme="minorBidi" w:cstheme="minorBidi"/>
          <w:shd w:val="clear" w:color="auto" w:fill="FFFFFF"/>
        </w:rPr>
        <w:t>Sex Education,</w:t>
      </w:r>
      <w:r w:rsidRPr="00345CE1">
        <w:rPr>
          <w:rFonts w:asciiTheme="minorBidi" w:hAnsiTheme="minorBidi" w:cstheme="minorBidi"/>
          <w:shd w:val="clear" w:color="auto" w:fill="FFFFFF"/>
        </w:rPr>
        <w:t> </w:t>
      </w:r>
      <w:r w:rsidRPr="00345CE1">
        <w:rPr>
          <w:rStyle w:val="volumeissue"/>
          <w:rFonts w:asciiTheme="minorBidi" w:hAnsiTheme="minorBidi" w:cstheme="minorBidi"/>
          <w:shd w:val="clear" w:color="auto" w:fill="FFFFFF"/>
        </w:rPr>
        <w:t>20:6,</w:t>
      </w:r>
      <w:r w:rsidRPr="00345CE1">
        <w:rPr>
          <w:rFonts w:asciiTheme="minorBidi" w:hAnsiTheme="minorBidi" w:cstheme="minorBidi"/>
          <w:shd w:val="clear" w:color="auto" w:fill="FFFFFF"/>
        </w:rPr>
        <w:t> </w:t>
      </w:r>
      <w:r w:rsidRPr="00345CE1">
        <w:rPr>
          <w:rStyle w:val="pagerange"/>
          <w:rFonts w:asciiTheme="minorBidi" w:hAnsiTheme="minorBidi" w:cstheme="minorBidi"/>
          <w:shd w:val="clear" w:color="auto" w:fill="FFFFFF"/>
        </w:rPr>
        <w:t>658-674</w:t>
      </w:r>
      <w:r w:rsidRPr="00345CE1">
        <w:rPr>
          <w:rFonts w:asciiTheme="minorBidi" w:eastAsia="Calibri" w:hAnsiTheme="minorBidi" w:cstheme="minorBidi"/>
        </w:rPr>
        <w:t xml:space="preserve"> </w:t>
      </w:r>
    </w:p>
    <w:p w14:paraId="785F2DC0" w14:textId="77777777" w:rsidR="001377F2" w:rsidRPr="00DF4BDA" w:rsidRDefault="001377F2" w:rsidP="006F58D4">
      <w:pPr>
        <w:pStyle w:val="Heading2"/>
        <w:rPr>
          <w:rFonts w:asciiTheme="minorBidi" w:eastAsiaTheme="minorEastAsia" w:hAnsiTheme="minorBidi" w:cstheme="minorBidi"/>
          <w:b/>
          <w:bCs/>
          <w:color w:val="auto"/>
          <w:sz w:val="24"/>
          <w:szCs w:val="24"/>
        </w:rPr>
      </w:pPr>
    </w:p>
    <w:p w14:paraId="0553A59B" w14:textId="419AE99F" w:rsidR="001377F2" w:rsidRDefault="001377F2" w:rsidP="006F58D4">
      <w:pPr>
        <w:pStyle w:val="Heading2"/>
        <w:rPr>
          <w:rFonts w:asciiTheme="minorBidi" w:eastAsiaTheme="minorEastAsia" w:hAnsiTheme="minorBidi" w:cstheme="minorBidi"/>
          <w:b/>
          <w:bCs/>
          <w:color w:val="auto"/>
          <w:sz w:val="24"/>
          <w:szCs w:val="24"/>
        </w:rPr>
      </w:pPr>
      <w:r w:rsidRPr="00DF4BDA">
        <w:rPr>
          <w:rFonts w:asciiTheme="minorBidi" w:eastAsiaTheme="minorEastAsia" w:hAnsiTheme="minorBidi" w:cstheme="minorBidi"/>
          <w:b/>
          <w:bCs/>
          <w:color w:val="auto"/>
          <w:sz w:val="24"/>
          <w:szCs w:val="24"/>
        </w:rPr>
        <w:t>Question 9: LGBT inclusive RSHP education</w:t>
      </w:r>
    </w:p>
    <w:p w14:paraId="3ABBBAF5" w14:textId="77777777" w:rsidR="00433AD3" w:rsidRPr="00433AD3" w:rsidRDefault="00433AD3" w:rsidP="006F58D4">
      <w:pPr>
        <w:rPr>
          <w:lang w:eastAsia="zh-CN"/>
        </w:rPr>
      </w:pPr>
    </w:p>
    <w:p w14:paraId="7504D0B2" w14:textId="7273A62A" w:rsidR="001377F2" w:rsidRPr="00DF4BDA" w:rsidRDefault="001377F2" w:rsidP="006F58D4">
      <w:pPr>
        <w:pStyle w:val="ListParagraph"/>
        <w:numPr>
          <w:ilvl w:val="0"/>
          <w:numId w:val="11"/>
        </w:numPr>
        <w:spacing w:after="160" w:line="259" w:lineRule="auto"/>
        <w:contextualSpacing/>
        <w:rPr>
          <w:rFonts w:asciiTheme="minorBidi" w:hAnsiTheme="minorBidi"/>
          <w:sz w:val="24"/>
          <w:szCs w:val="24"/>
        </w:rPr>
      </w:pPr>
      <w:r w:rsidRPr="00DF4BDA">
        <w:rPr>
          <w:rFonts w:asciiTheme="minorBidi" w:hAnsiTheme="minorBidi"/>
          <w:sz w:val="24"/>
          <w:szCs w:val="24"/>
        </w:rPr>
        <w:t>Is the guidance sufficiently clear in ensuring RSHP educatio</w:t>
      </w:r>
      <w:r w:rsidR="00BC775E">
        <w:rPr>
          <w:rFonts w:asciiTheme="minorBidi" w:hAnsiTheme="minorBidi"/>
          <w:sz w:val="24"/>
          <w:szCs w:val="24"/>
        </w:rPr>
        <w:t xml:space="preserve">n is </w:t>
      </w:r>
      <w:proofErr w:type="spellStart"/>
      <w:r w:rsidRPr="00DF4BDA">
        <w:rPr>
          <w:rFonts w:asciiTheme="minorBidi" w:hAnsiTheme="minorBidi"/>
          <w:sz w:val="24"/>
          <w:szCs w:val="24"/>
        </w:rPr>
        <w:t>is</w:t>
      </w:r>
      <w:proofErr w:type="spellEnd"/>
      <w:r w:rsidRPr="00DF4BDA">
        <w:rPr>
          <w:rFonts w:asciiTheme="minorBidi" w:hAnsiTheme="minorBidi"/>
          <w:sz w:val="24"/>
          <w:szCs w:val="24"/>
        </w:rPr>
        <w:t xml:space="preserve"> LGBT inclusive? </w:t>
      </w:r>
      <w:r w:rsidRPr="00BC775E">
        <w:rPr>
          <w:rFonts w:asciiTheme="minorBidi" w:hAnsiTheme="minorBidi"/>
          <w:sz w:val="24"/>
          <w:szCs w:val="24"/>
          <w:highlight w:val="yellow"/>
        </w:rPr>
        <w:t>Yes</w:t>
      </w:r>
    </w:p>
    <w:p w14:paraId="78631A64" w14:textId="77777777"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It is important to proactively tackle homophobia in school environments (Buston and Hart, 2001). We agree on the guidance’s suggestion to embed LGBT+ education across the curriculum. This will help tackle LGBT-phobia contributing to the visibility and positive representations of LGBT+ people. Unit research highlights how social </w:t>
      </w:r>
      <w:r w:rsidRPr="00DF4BDA">
        <w:rPr>
          <w:rFonts w:asciiTheme="minorBidi" w:hAnsiTheme="minorBidi" w:cstheme="minorBidi"/>
          <w:sz w:val="24"/>
          <w:szCs w:val="24"/>
        </w:rPr>
        <w:lastRenderedPageBreak/>
        <w:t xml:space="preserve">climates in which LGBT+ people are seen as other or different contribute to health inequalities between LGBT+ people and their cisgender and heterosexual counterparts (Marzetti </w:t>
      </w:r>
      <w:r w:rsidRPr="00DF4BDA">
        <w:rPr>
          <w:rFonts w:asciiTheme="minorBidi" w:hAnsiTheme="minorBidi" w:cstheme="minorBidi"/>
          <w:i/>
          <w:iCs/>
          <w:sz w:val="24"/>
          <w:szCs w:val="24"/>
        </w:rPr>
        <w:t>et al.</w:t>
      </w:r>
      <w:r w:rsidRPr="00DF4BDA">
        <w:rPr>
          <w:rFonts w:asciiTheme="minorBidi" w:hAnsiTheme="minorBidi" w:cstheme="minorBidi"/>
          <w:sz w:val="24"/>
          <w:szCs w:val="24"/>
        </w:rPr>
        <w:t xml:space="preserve">, 2022). </w:t>
      </w:r>
    </w:p>
    <w:p w14:paraId="4BEB0357" w14:textId="77777777" w:rsidR="00DF4BDA" w:rsidRPr="00DF4BDA" w:rsidRDefault="00DF4BDA" w:rsidP="006F58D4">
      <w:pPr>
        <w:rPr>
          <w:rFonts w:asciiTheme="minorBidi" w:hAnsiTheme="minorBidi" w:cstheme="minorBidi"/>
          <w:sz w:val="24"/>
          <w:szCs w:val="24"/>
        </w:rPr>
      </w:pPr>
    </w:p>
    <w:p w14:paraId="0AD3A841" w14:textId="6250F7BB" w:rsidR="00BC775E" w:rsidRDefault="001377F2" w:rsidP="006F58D4">
      <w:pPr>
        <w:rPr>
          <w:rFonts w:asciiTheme="minorBidi" w:hAnsiTheme="minorBidi" w:cstheme="minorBidi"/>
          <w:sz w:val="24"/>
          <w:szCs w:val="24"/>
        </w:rPr>
      </w:pPr>
      <w:r w:rsidRPr="00DF4BDA">
        <w:rPr>
          <w:rFonts w:asciiTheme="minorBidi" w:hAnsiTheme="minorBidi" w:cstheme="minorBidi"/>
          <w:sz w:val="24"/>
          <w:szCs w:val="24"/>
        </w:rPr>
        <w:t>We agree it is important to let LGBT+ children share information on their own terms and that a child coming out as LGBT+ should not</w:t>
      </w:r>
      <w:proofErr w:type="gramStart"/>
      <w:r w:rsidRPr="00DF4BDA">
        <w:rPr>
          <w:rFonts w:asciiTheme="minorBidi" w:hAnsiTheme="minorBidi" w:cstheme="minorBidi"/>
          <w:sz w:val="24"/>
          <w:szCs w:val="24"/>
        </w:rPr>
        <w:t>, in itself, be</w:t>
      </w:r>
      <w:proofErr w:type="gramEnd"/>
      <w:r w:rsidRPr="00DF4BDA">
        <w:rPr>
          <w:rFonts w:asciiTheme="minorBidi" w:hAnsiTheme="minorBidi" w:cstheme="minorBidi"/>
          <w:sz w:val="24"/>
          <w:szCs w:val="24"/>
        </w:rPr>
        <w:t xml:space="preserve"> seen as a safeguarding concern. The guidance goes on to clarify that there might related safeguarding concerns that come up with that disclosure. We recommend the guidance adds a point to section 3.21 stating </w:t>
      </w:r>
      <w:proofErr w:type="gramStart"/>
      <w:r w:rsidRPr="00DF4BDA">
        <w:rPr>
          <w:rFonts w:asciiTheme="minorBidi" w:hAnsiTheme="minorBidi" w:cstheme="minorBidi"/>
          <w:sz w:val="24"/>
          <w:szCs w:val="24"/>
        </w:rPr>
        <w:t>that</w:t>
      </w:r>
      <w:proofErr w:type="gramEnd"/>
      <w:r w:rsidRPr="00DF4BDA">
        <w:rPr>
          <w:rFonts w:asciiTheme="minorBidi" w:hAnsiTheme="minorBidi" w:cstheme="minorBidi"/>
          <w:sz w:val="24"/>
          <w:szCs w:val="24"/>
        </w:rPr>
        <w:t xml:space="preserve"> when possible, the child should be involved in the decision making process of how that safeguarding concern is addressed, as this can minimise feelings of distress. </w:t>
      </w:r>
    </w:p>
    <w:p w14:paraId="504BB314" w14:textId="77777777" w:rsidR="00BC775E" w:rsidRPr="00DF4BDA" w:rsidRDefault="00BC775E" w:rsidP="006F58D4">
      <w:pPr>
        <w:rPr>
          <w:rFonts w:asciiTheme="minorBidi" w:hAnsiTheme="minorBidi" w:cstheme="minorBidi"/>
          <w:sz w:val="24"/>
          <w:szCs w:val="24"/>
        </w:rPr>
      </w:pPr>
    </w:p>
    <w:p w14:paraId="32FFBA5B" w14:textId="77777777" w:rsidR="001377F2" w:rsidRDefault="001377F2" w:rsidP="006F58D4">
      <w:pPr>
        <w:rPr>
          <w:rFonts w:asciiTheme="minorBidi" w:hAnsiTheme="minorBidi" w:cstheme="minorBidi"/>
          <w:sz w:val="24"/>
          <w:szCs w:val="24"/>
        </w:rPr>
      </w:pPr>
      <w:r w:rsidRPr="00DF4BDA">
        <w:rPr>
          <w:rFonts w:asciiTheme="minorBidi" w:hAnsiTheme="minorBidi" w:cstheme="minorBidi"/>
          <w:sz w:val="24"/>
          <w:szCs w:val="24"/>
        </w:rPr>
        <w:t xml:space="preserve">We agree on a whole school, LGBT+ inclusive approach to RSHP. This approach benefits all children, including heterosexual and cisgender youth, as it teaches them about diversity and results in more comprehensive RSHP learning. </w:t>
      </w:r>
    </w:p>
    <w:p w14:paraId="43FB905D" w14:textId="77777777" w:rsidR="00BC775E" w:rsidRPr="00DF4BDA" w:rsidRDefault="00BC775E" w:rsidP="006F58D4">
      <w:pPr>
        <w:rPr>
          <w:rFonts w:asciiTheme="minorBidi" w:hAnsiTheme="minorBidi" w:cstheme="minorBidi"/>
          <w:sz w:val="24"/>
          <w:szCs w:val="24"/>
        </w:rPr>
      </w:pPr>
    </w:p>
    <w:p w14:paraId="179D0ED3" w14:textId="77777777" w:rsidR="001377F2" w:rsidRPr="00DF4BDA" w:rsidRDefault="001377F2" w:rsidP="006F58D4">
      <w:pPr>
        <w:rPr>
          <w:rFonts w:asciiTheme="minorBidi" w:eastAsia="Calibri" w:hAnsiTheme="minorBidi" w:cstheme="minorBidi"/>
          <w:sz w:val="24"/>
          <w:szCs w:val="24"/>
        </w:rPr>
      </w:pPr>
      <w:r w:rsidRPr="00DF4BDA">
        <w:rPr>
          <w:rFonts w:asciiTheme="minorBidi" w:eastAsia="Calibri" w:hAnsiTheme="minorBidi" w:cstheme="minorBidi"/>
          <w:sz w:val="24"/>
          <w:szCs w:val="24"/>
        </w:rPr>
        <w:t xml:space="preserve">In the CONUNDRUM study (Lewis </w:t>
      </w:r>
      <w:r w:rsidRPr="00DF4BDA">
        <w:rPr>
          <w:rFonts w:asciiTheme="minorBidi" w:eastAsia="Calibri" w:hAnsiTheme="minorBidi" w:cstheme="minorBidi"/>
          <w:i/>
          <w:iCs/>
          <w:sz w:val="24"/>
          <w:szCs w:val="24"/>
        </w:rPr>
        <w:t>et al.,</w:t>
      </w:r>
      <w:r w:rsidRPr="00DF4BDA">
        <w:rPr>
          <w:rFonts w:asciiTheme="minorBidi" w:eastAsia="Calibri" w:hAnsiTheme="minorBidi" w:cstheme="minorBidi"/>
          <w:sz w:val="24"/>
          <w:szCs w:val="24"/>
        </w:rPr>
        <w:t xml:space="preserve"> 2021), which involved over 2000 young people aged 16-24 across Scotland, young people of all sexualities (including heterosexual young people) were critical of the heteronormative focus of information delivered in RSHP, including either total lack of information on STI and pregnancy prevention that is inclusive of LGBT+ young people, or </w:t>
      </w:r>
      <w:proofErr w:type="spellStart"/>
      <w:r w:rsidRPr="00DF4BDA">
        <w:rPr>
          <w:rFonts w:asciiTheme="minorBidi" w:eastAsia="Calibri" w:hAnsiTheme="minorBidi" w:cstheme="minorBidi"/>
          <w:sz w:val="24"/>
          <w:szCs w:val="24"/>
        </w:rPr>
        <w:t>deprioritisation</w:t>
      </w:r>
      <w:proofErr w:type="spellEnd"/>
      <w:r w:rsidRPr="00DF4BDA">
        <w:rPr>
          <w:rFonts w:asciiTheme="minorBidi" w:eastAsia="Calibri" w:hAnsiTheme="minorBidi" w:cstheme="minorBidi"/>
          <w:sz w:val="24"/>
          <w:szCs w:val="24"/>
        </w:rPr>
        <w:t xml:space="preserve"> of this content (e.g. reports of teachers skipping over particular slides or examples within lessons). Young people also critiqued focus on some forms of diversity but not others (e.g. discussion about STI prevention between men who have sex with men, but not between women who have sex with women).</w:t>
      </w:r>
    </w:p>
    <w:p w14:paraId="75A70D86" w14:textId="77777777" w:rsidR="00BC775E" w:rsidRDefault="00BC775E" w:rsidP="006F58D4">
      <w:pPr>
        <w:rPr>
          <w:rFonts w:asciiTheme="minorBidi" w:hAnsiTheme="minorBidi" w:cstheme="minorBidi"/>
          <w:b/>
          <w:bCs/>
          <w:sz w:val="24"/>
          <w:szCs w:val="24"/>
        </w:rPr>
      </w:pPr>
    </w:p>
    <w:p w14:paraId="7F4E7F5A" w14:textId="24DE0D0A" w:rsidR="001377F2" w:rsidRPr="00DF4BDA" w:rsidRDefault="001377F2" w:rsidP="006F58D4">
      <w:pPr>
        <w:rPr>
          <w:rFonts w:asciiTheme="minorBidi" w:hAnsiTheme="minorBidi" w:cstheme="minorBidi"/>
          <w:b/>
          <w:bCs/>
          <w:sz w:val="24"/>
          <w:szCs w:val="24"/>
        </w:rPr>
      </w:pPr>
      <w:r w:rsidRPr="00DF4BDA">
        <w:rPr>
          <w:rFonts w:asciiTheme="minorBidi" w:hAnsiTheme="minorBidi" w:cstheme="minorBidi"/>
          <w:b/>
          <w:bCs/>
          <w:sz w:val="24"/>
          <w:szCs w:val="24"/>
        </w:rPr>
        <w:t>References</w:t>
      </w:r>
    </w:p>
    <w:p w14:paraId="06476BB3" w14:textId="77777777" w:rsidR="001377F2" w:rsidRPr="00DF4BDA" w:rsidRDefault="001377F2" w:rsidP="006F58D4">
      <w:pPr>
        <w:rPr>
          <w:rStyle w:val="person"/>
          <w:rFonts w:asciiTheme="minorBidi" w:hAnsiTheme="minorBidi" w:cstheme="minorBidi"/>
          <w:sz w:val="24"/>
          <w:szCs w:val="24"/>
          <w:bdr w:val="none" w:sz="0" w:space="0" w:color="auto" w:frame="1"/>
          <w:shd w:val="clear" w:color="auto" w:fill="FFFFFF"/>
        </w:rPr>
      </w:pPr>
    </w:p>
    <w:p w14:paraId="0178A393" w14:textId="766B1D13" w:rsidR="001377F2" w:rsidRPr="00345CE1" w:rsidRDefault="001377F2" w:rsidP="006F58D4">
      <w:pPr>
        <w:rPr>
          <w:rStyle w:val="idnumber"/>
          <w:rFonts w:asciiTheme="minorBidi" w:hAnsiTheme="minorBidi" w:cstheme="minorBidi"/>
          <w:shd w:val="clear" w:color="auto" w:fill="FFFFFF"/>
        </w:rPr>
      </w:pPr>
      <w:r w:rsidRPr="00345CE1">
        <w:rPr>
          <w:rStyle w:val="person"/>
          <w:rFonts w:asciiTheme="minorBidi" w:hAnsiTheme="minorBidi" w:cstheme="minorBidi"/>
          <w:bdr w:val="none" w:sz="0" w:space="0" w:color="auto" w:frame="1"/>
          <w:shd w:val="clear" w:color="auto" w:fill="FFFFFF"/>
        </w:rPr>
        <w:t>Buston, K.</w:t>
      </w:r>
      <w:r w:rsidRPr="00345CE1">
        <w:rPr>
          <w:rFonts w:asciiTheme="minorBidi" w:hAnsiTheme="minorBidi" w:cstheme="minorBidi"/>
          <w:shd w:val="clear" w:color="auto" w:fill="FFFFFF"/>
        </w:rPr>
        <w:t> and </w:t>
      </w:r>
      <w:r w:rsidRPr="00345CE1">
        <w:rPr>
          <w:rStyle w:val="person"/>
          <w:rFonts w:asciiTheme="minorBidi" w:hAnsiTheme="minorBidi" w:cstheme="minorBidi"/>
          <w:shd w:val="clear" w:color="auto" w:fill="FFFFFF"/>
        </w:rPr>
        <w:t>Hart, G.</w:t>
      </w:r>
      <w:r w:rsidRPr="00345CE1">
        <w:rPr>
          <w:rFonts w:asciiTheme="minorBidi" w:hAnsiTheme="minorBidi" w:cstheme="minorBidi"/>
          <w:shd w:val="clear" w:color="auto" w:fill="FFFFFF"/>
        </w:rPr>
        <w:t> (2001) Heterosexism and homophobia in Scottish school sex education: exploring the nature of the problem. </w:t>
      </w:r>
      <w:r w:rsidRPr="00345CE1">
        <w:rPr>
          <w:rStyle w:val="Emphasis"/>
          <w:rFonts w:asciiTheme="minorBidi" w:hAnsiTheme="minorBidi" w:cstheme="minorBidi"/>
          <w:bdr w:val="none" w:sz="0" w:space="0" w:color="auto" w:frame="1"/>
          <w:shd w:val="clear" w:color="auto" w:fill="FFFFFF"/>
        </w:rPr>
        <w:t>Journal of Adolescence</w:t>
      </w:r>
      <w:r w:rsidRPr="00345CE1">
        <w:rPr>
          <w:rFonts w:asciiTheme="minorBidi" w:hAnsiTheme="minorBidi" w:cstheme="minorBidi"/>
          <w:shd w:val="clear" w:color="auto" w:fill="FFFFFF"/>
        </w:rPr>
        <w:t>, 24(1), pp. 95-109.</w:t>
      </w:r>
    </w:p>
    <w:p w14:paraId="25B202EB" w14:textId="77777777" w:rsidR="001377F2" w:rsidRPr="00345CE1" w:rsidRDefault="001377F2" w:rsidP="006F58D4">
      <w:pPr>
        <w:rPr>
          <w:rStyle w:val="person"/>
          <w:rFonts w:asciiTheme="minorBidi" w:hAnsiTheme="minorBidi" w:cstheme="minorBidi"/>
          <w:bdr w:val="none" w:sz="0" w:space="0" w:color="auto" w:frame="1"/>
          <w:shd w:val="clear" w:color="auto" w:fill="FFFFFF"/>
        </w:rPr>
      </w:pPr>
    </w:p>
    <w:p w14:paraId="0C27E5E5" w14:textId="6EE6C21F" w:rsidR="001377F2" w:rsidRPr="00345CE1" w:rsidRDefault="001377F2" w:rsidP="006F58D4">
      <w:pPr>
        <w:rPr>
          <w:rFonts w:asciiTheme="minorBidi" w:hAnsiTheme="minorBidi" w:cstheme="minorBidi"/>
        </w:rPr>
      </w:pPr>
      <w:r w:rsidRPr="00345CE1">
        <w:rPr>
          <w:rStyle w:val="person"/>
          <w:rFonts w:asciiTheme="minorBidi" w:hAnsiTheme="minorBidi" w:cstheme="minorBidi"/>
          <w:bdr w:val="none" w:sz="0" w:space="0" w:color="auto" w:frame="1"/>
          <w:shd w:val="clear" w:color="auto" w:fill="FFFFFF"/>
        </w:rPr>
        <w:t>Marzetti, H.</w:t>
      </w:r>
      <w:r w:rsidRPr="00345CE1">
        <w:rPr>
          <w:rFonts w:asciiTheme="minorBidi" w:hAnsiTheme="minorBidi" w:cstheme="minorBidi"/>
          <w:shd w:val="clear" w:color="auto" w:fill="FFFFFF"/>
        </w:rPr>
        <w:t>, </w:t>
      </w:r>
      <w:r w:rsidRPr="00345CE1">
        <w:rPr>
          <w:rStyle w:val="person"/>
          <w:rFonts w:asciiTheme="minorBidi" w:hAnsiTheme="minorBidi" w:cstheme="minorBidi"/>
          <w:bdr w:val="none" w:sz="0" w:space="0" w:color="auto" w:frame="1"/>
          <w:shd w:val="clear" w:color="auto" w:fill="FFFFFF"/>
        </w:rPr>
        <w:t>McDaid, L.</w:t>
      </w:r>
      <w:r w:rsidRPr="00345CE1">
        <w:rPr>
          <w:rStyle w:val="person"/>
          <w:rFonts w:asciiTheme="minorBidi" w:hAnsiTheme="minorBidi" w:cstheme="minorBidi"/>
          <w:shd w:val="clear" w:color="auto" w:fill="FFFFFF"/>
        </w:rPr>
        <w:t> </w:t>
      </w:r>
      <w:r w:rsidRPr="00345CE1">
        <w:rPr>
          <w:rFonts w:asciiTheme="minorBidi" w:hAnsiTheme="minorBidi" w:cstheme="minorBidi"/>
          <w:shd w:val="clear" w:color="auto" w:fill="FFFFFF"/>
        </w:rPr>
        <w:t> and </w:t>
      </w:r>
      <w:r w:rsidRPr="00345CE1">
        <w:rPr>
          <w:rStyle w:val="person"/>
          <w:rFonts w:asciiTheme="minorBidi" w:hAnsiTheme="minorBidi" w:cstheme="minorBidi"/>
          <w:bdr w:val="none" w:sz="0" w:space="0" w:color="auto" w:frame="1"/>
          <w:shd w:val="clear" w:color="auto" w:fill="FFFFFF"/>
        </w:rPr>
        <w:t>O'Connor, R.</w:t>
      </w:r>
      <w:r w:rsidRPr="00345CE1">
        <w:rPr>
          <w:rStyle w:val="person"/>
          <w:rFonts w:asciiTheme="minorBidi" w:hAnsiTheme="minorBidi" w:cstheme="minorBidi"/>
          <w:shd w:val="clear" w:color="auto" w:fill="FFFFFF"/>
        </w:rPr>
        <w:t> </w:t>
      </w:r>
      <w:r w:rsidRPr="00345CE1">
        <w:rPr>
          <w:rFonts w:asciiTheme="minorBidi" w:hAnsiTheme="minorBidi" w:cstheme="minorBidi"/>
          <w:shd w:val="clear" w:color="auto" w:fill="FFFFFF"/>
        </w:rPr>
        <w:t xml:space="preserve"> (2022) “Am I really alive?”: understanding the role of homophobia, </w:t>
      </w:r>
      <w:proofErr w:type="gramStart"/>
      <w:r w:rsidRPr="00345CE1">
        <w:rPr>
          <w:rFonts w:asciiTheme="minorBidi" w:hAnsiTheme="minorBidi" w:cstheme="minorBidi"/>
          <w:shd w:val="clear" w:color="auto" w:fill="FFFFFF"/>
        </w:rPr>
        <w:t>biphobia</w:t>
      </w:r>
      <w:proofErr w:type="gramEnd"/>
      <w:r w:rsidRPr="00345CE1">
        <w:rPr>
          <w:rFonts w:asciiTheme="minorBidi" w:hAnsiTheme="minorBidi" w:cstheme="minorBidi"/>
          <w:shd w:val="clear" w:color="auto" w:fill="FFFFFF"/>
        </w:rPr>
        <w:t xml:space="preserve"> and transphobia in young LGBT+ people's suicidal distress. </w:t>
      </w:r>
      <w:r w:rsidRPr="00345CE1">
        <w:rPr>
          <w:rStyle w:val="Emphasis"/>
          <w:rFonts w:asciiTheme="minorBidi" w:hAnsiTheme="minorBidi" w:cstheme="minorBidi"/>
          <w:bdr w:val="none" w:sz="0" w:space="0" w:color="auto" w:frame="1"/>
          <w:shd w:val="clear" w:color="auto" w:fill="FFFFFF"/>
        </w:rPr>
        <w:t>Social Science and Medicine</w:t>
      </w:r>
      <w:r w:rsidRPr="00345CE1">
        <w:rPr>
          <w:rFonts w:asciiTheme="minorBidi" w:hAnsiTheme="minorBidi" w:cstheme="minorBidi"/>
          <w:shd w:val="clear" w:color="auto" w:fill="FFFFFF"/>
        </w:rPr>
        <w:t>, 298, 114860. </w:t>
      </w:r>
    </w:p>
    <w:p w14:paraId="53AB54F3" w14:textId="77777777" w:rsidR="001377F2" w:rsidRPr="00345CE1" w:rsidRDefault="001377F2" w:rsidP="006F58D4">
      <w:pPr>
        <w:rPr>
          <w:rFonts w:asciiTheme="minorBidi" w:eastAsia="Calibri" w:hAnsiTheme="minorBidi" w:cstheme="minorBidi"/>
        </w:rPr>
      </w:pPr>
      <w:bookmarkStart w:id="0" w:name="_Hlk149648553"/>
    </w:p>
    <w:p w14:paraId="71AB2B1A" w14:textId="7CFB6700" w:rsidR="001377F2" w:rsidRPr="00345CE1" w:rsidRDefault="001377F2" w:rsidP="006F58D4">
      <w:pPr>
        <w:rPr>
          <w:rFonts w:asciiTheme="minorBidi" w:hAnsiTheme="minorBidi" w:cstheme="minorBidi"/>
        </w:rPr>
      </w:pPr>
      <w:r w:rsidRPr="00345CE1">
        <w:rPr>
          <w:rFonts w:asciiTheme="minorBidi" w:eastAsia="Calibri" w:hAnsiTheme="minorBidi" w:cstheme="minorBidi"/>
        </w:rPr>
        <w:t xml:space="preserve">Lewis, R., Blake, C., McMellon C., Riddell J., Graham C., Mitchell K. (2021). Understanding young people’s use and non-use of condoms and contraception: A co-developed, mixed-methods study with </w:t>
      </w:r>
      <w:proofErr w:type="gramStart"/>
      <w:r w:rsidRPr="00345CE1">
        <w:rPr>
          <w:rFonts w:asciiTheme="minorBidi" w:eastAsia="Calibri" w:hAnsiTheme="minorBidi" w:cstheme="minorBidi"/>
        </w:rPr>
        <w:t>16-24 year olds</w:t>
      </w:r>
      <w:proofErr w:type="gramEnd"/>
      <w:r w:rsidRPr="00345CE1">
        <w:rPr>
          <w:rFonts w:asciiTheme="minorBidi" w:eastAsia="Calibri" w:hAnsiTheme="minorBidi" w:cstheme="minorBidi"/>
        </w:rPr>
        <w:t xml:space="preserve"> in Scotland. Final report from CONUNDRUM (</w:t>
      </w:r>
      <w:proofErr w:type="spellStart"/>
      <w:r w:rsidRPr="00345CE1">
        <w:rPr>
          <w:rFonts w:asciiTheme="minorBidi" w:eastAsia="Calibri" w:hAnsiTheme="minorBidi" w:cstheme="minorBidi"/>
        </w:rPr>
        <w:t>CONdom</w:t>
      </w:r>
      <w:proofErr w:type="spellEnd"/>
      <w:r w:rsidRPr="00345CE1">
        <w:rPr>
          <w:rFonts w:asciiTheme="minorBidi" w:eastAsia="Calibri" w:hAnsiTheme="minorBidi" w:cstheme="minorBidi"/>
        </w:rPr>
        <w:t xml:space="preserve"> and </w:t>
      </w:r>
      <w:proofErr w:type="spellStart"/>
      <w:r w:rsidRPr="00345CE1">
        <w:rPr>
          <w:rFonts w:asciiTheme="minorBidi" w:eastAsia="Calibri" w:hAnsiTheme="minorBidi" w:cstheme="minorBidi"/>
        </w:rPr>
        <w:t>CONtraception</w:t>
      </w:r>
      <w:proofErr w:type="spellEnd"/>
      <w:r w:rsidRPr="00345CE1">
        <w:rPr>
          <w:rFonts w:asciiTheme="minorBidi" w:eastAsia="Calibri" w:hAnsiTheme="minorBidi" w:cstheme="minorBidi"/>
        </w:rPr>
        <w:t xml:space="preserve"> </w:t>
      </w:r>
      <w:proofErr w:type="spellStart"/>
      <w:r w:rsidRPr="00345CE1">
        <w:rPr>
          <w:rFonts w:asciiTheme="minorBidi" w:eastAsia="Calibri" w:hAnsiTheme="minorBidi" w:cstheme="minorBidi"/>
        </w:rPr>
        <w:t>UNDerstandings</w:t>
      </w:r>
      <w:proofErr w:type="spellEnd"/>
      <w:r w:rsidRPr="00345CE1">
        <w:rPr>
          <w:rFonts w:asciiTheme="minorBidi" w:eastAsia="Calibri" w:hAnsiTheme="minorBidi" w:cstheme="minorBidi"/>
        </w:rPr>
        <w:t>: Researching Uptake and Motivations). MRC/CSO Social and Public Health Sciences Unit: University of Glasgow.</w:t>
      </w:r>
    </w:p>
    <w:bookmarkEnd w:id="0"/>
    <w:p w14:paraId="4EA17087" w14:textId="77777777" w:rsidR="001377F2" w:rsidRPr="006F58D4" w:rsidRDefault="001377F2" w:rsidP="006F58D4">
      <w:pPr>
        <w:pStyle w:val="Heading1"/>
        <w:rPr>
          <w:rFonts w:asciiTheme="minorBidi" w:eastAsiaTheme="minorEastAsia" w:hAnsiTheme="minorBidi" w:cstheme="minorBidi"/>
          <w:b/>
          <w:bCs/>
          <w:color w:val="auto"/>
          <w:sz w:val="24"/>
          <w:szCs w:val="24"/>
        </w:rPr>
      </w:pPr>
      <w:r w:rsidRPr="006F58D4">
        <w:rPr>
          <w:rFonts w:asciiTheme="minorBidi" w:eastAsiaTheme="minorEastAsia" w:hAnsiTheme="minorBidi" w:cstheme="minorBidi"/>
          <w:b/>
          <w:bCs/>
          <w:color w:val="auto"/>
          <w:sz w:val="24"/>
          <w:szCs w:val="24"/>
        </w:rPr>
        <w:t>Section 4: Key Learning Points for RSHP Education</w:t>
      </w:r>
    </w:p>
    <w:p w14:paraId="5E98815F" w14:textId="77777777" w:rsidR="001377F2" w:rsidRPr="00DF4BDA" w:rsidRDefault="001377F2" w:rsidP="006F58D4">
      <w:pPr>
        <w:pStyle w:val="pf0"/>
        <w:rPr>
          <w:rFonts w:asciiTheme="minorBidi" w:hAnsiTheme="minorBidi" w:cstheme="minorBidi"/>
        </w:rPr>
      </w:pPr>
      <w:r w:rsidRPr="00DF4BDA">
        <w:rPr>
          <w:rFonts w:asciiTheme="minorBidi" w:hAnsiTheme="minorBidi" w:cstheme="minorBidi"/>
        </w:rPr>
        <w:t>4,3 “</w:t>
      </w:r>
      <w:r w:rsidRPr="00DF4BDA">
        <w:rPr>
          <w:rFonts w:asciiTheme="minorBidi" w:eastAsiaTheme="minorEastAsia" w:hAnsiTheme="minorBidi" w:cstheme="minorBidi"/>
        </w:rPr>
        <w:t>All children and young people, including those who require additional support, should co</w:t>
      </w:r>
      <w:r w:rsidRPr="00DF4BDA">
        <w:rPr>
          <w:rFonts w:ascii="Cambria Math" w:eastAsiaTheme="minorEastAsia" w:hAnsi="Cambria Math" w:cs="Cambria Math"/>
        </w:rPr>
        <w:t>‑</w:t>
      </w:r>
      <w:r w:rsidRPr="00DF4BDA">
        <w:rPr>
          <w:rFonts w:asciiTheme="minorBidi" w:eastAsiaTheme="minorEastAsia" w:hAnsiTheme="minorBidi" w:cstheme="minorBidi"/>
        </w:rPr>
        <w:t xml:space="preserve">design the </w:t>
      </w:r>
      <w:r w:rsidRPr="00DF4BDA">
        <w:rPr>
          <w:rFonts w:asciiTheme="minorBidi" w:eastAsiaTheme="minorEastAsia" w:hAnsiTheme="minorBidi" w:cstheme="minorBidi"/>
          <w:u w:val="single"/>
        </w:rPr>
        <w:t>RSHP</w:t>
      </w:r>
      <w:r w:rsidRPr="00DF4BDA">
        <w:rPr>
          <w:rFonts w:asciiTheme="minorBidi" w:eastAsiaTheme="minorEastAsia" w:hAnsiTheme="minorBidi" w:cstheme="minorBidi"/>
        </w:rPr>
        <w:t xml:space="preserve"> education they receive, where appropriate</w:t>
      </w:r>
      <w:r w:rsidRPr="00DF4BDA">
        <w:rPr>
          <w:rFonts w:asciiTheme="minorBidi" w:hAnsiTheme="minorBidi" w:cstheme="minorBidi"/>
        </w:rPr>
        <w:t xml:space="preserve">”. Guidance should be clearer here so that this is not misinterpreted by practitioners as simply asking young people to decide the content of their RSHP education.  The addition of a subordinate clause to express how young people should be involved in this co-design would be helpful </w:t>
      </w:r>
      <w:proofErr w:type="spellStart"/>
      <w:r w:rsidRPr="00DF4BDA">
        <w:rPr>
          <w:rFonts w:asciiTheme="minorBidi" w:hAnsiTheme="minorBidi" w:cstheme="minorBidi"/>
        </w:rPr>
        <w:t>ie</w:t>
      </w:r>
      <w:proofErr w:type="spellEnd"/>
      <w:r w:rsidRPr="00DF4BDA">
        <w:rPr>
          <w:rFonts w:asciiTheme="minorBidi" w:hAnsiTheme="minorBidi" w:cstheme="minorBidi"/>
        </w:rPr>
        <w:t xml:space="preserve">. by providing opinions and suggestions related to the content, </w:t>
      </w:r>
      <w:proofErr w:type="gramStart"/>
      <w:r w:rsidRPr="00DF4BDA">
        <w:rPr>
          <w:rFonts w:asciiTheme="minorBidi" w:hAnsiTheme="minorBidi" w:cstheme="minorBidi"/>
        </w:rPr>
        <w:t>accessibility</w:t>
      </w:r>
      <w:proofErr w:type="gramEnd"/>
      <w:r w:rsidRPr="00DF4BDA">
        <w:rPr>
          <w:rFonts w:asciiTheme="minorBidi" w:hAnsiTheme="minorBidi" w:cstheme="minorBidi"/>
        </w:rPr>
        <w:t xml:space="preserve"> and methods of delivery of the various resources and topics. It is essential that there is careful consideration regarding </w:t>
      </w:r>
      <w:r w:rsidRPr="00DF4BDA">
        <w:rPr>
          <w:rStyle w:val="cf01"/>
          <w:rFonts w:asciiTheme="minorBidi" w:eastAsiaTheme="majorEastAsia" w:hAnsiTheme="minorBidi" w:cstheme="minorBidi"/>
          <w:sz w:val="24"/>
          <w:szCs w:val="24"/>
        </w:rPr>
        <w:t xml:space="preserve">what meaningful </w:t>
      </w:r>
      <w:r w:rsidRPr="00DF4BDA">
        <w:rPr>
          <w:rStyle w:val="cf01"/>
          <w:rFonts w:asciiTheme="minorBidi" w:eastAsiaTheme="majorEastAsia" w:hAnsiTheme="minorBidi" w:cstheme="minorBidi"/>
          <w:sz w:val="24"/>
          <w:szCs w:val="24"/>
        </w:rPr>
        <w:lastRenderedPageBreak/>
        <w:t xml:space="preserve">involvement looks like in this sphere, involvement processes must consider power relations, privacy and multiple perspectives involved in the process (Lewis </w:t>
      </w:r>
      <w:r w:rsidRPr="00DF4BDA">
        <w:rPr>
          <w:rStyle w:val="cf01"/>
          <w:rFonts w:asciiTheme="minorBidi" w:eastAsiaTheme="majorEastAsia" w:hAnsiTheme="minorBidi" w:cstheme="minorBidi"/>
          <w:i/>
          <w:iCs/>
          <w:sz w:val="24"/>
          <w:szCs w:val="24"/>
        </w:rPr>
        <w:t>et al.,</w:t>
      </w:r>
      <w:r w:rsidRPr="00DF4BDA">
        <w:rPr>
          <w:rStyle w:val="cf01"/>
          <w:rFonts w:asciiTheme="minorBidi" w:eastAsiaTheme="majorEastAsia" w:hAnsiTheme="minorBidi" w:cstheme="minorBidi"/>
          <w:sz w:val="24"/>
          <w:szCs w:val="24"/>
        </w:rPr>
        <w:t xml:space="preserve"> 2021)</w:t>
      </w:r>
    </w:p>
    <w:p w14:paraId="1BA8033D" w14:textId="77777777" w:rsidR="001377F2" w:rsidRPr="00DF4BDA" w:rsidRDefault="001377F2" w:rsidP="006F58D4">
      <w:pPr>
        <w:spacing w:after="240"/>
        <w:rPr>
          <w:rFonts w:asciiTheme="minorBidi" w:hAnsiTheme="minorBidi" w:cstheme="minorBidi"/>
          <w:sz w:val="24"/>
          <w:szCs w:val="24"/>
        </w:rPr>
      </w:pPr>
      <w:r w:rsidRPr="00DF4BDA">
        <w:rPr>
          <w:rFonts w:asciiTheme="minorBidi" w:hAnsiTheme="minorBidi" w:cstheme="minorBidi"/>
          <w:sz w:val="24"/>
          <w:szCs w:val="24"/>
        </w:rPr>
        <w:t>4.4. We agree it is important that RHSP lessons are inclusive and provided to all pupils. However, guidance on how ASN pupils will be supported in these lessons would be helpful for schools to allocate the required provision of support staff as with other curricular subjects.</w:t>
      </w:r>
    </w:p>
    <w:p w14:paraId="1790F9F4" w14:textId="77777777" w:rsidR="001377F2" w:rsidRPr="00DF4BDA" w:rsidRDefault="001377F2" w:rsidP="006F58D4">
      <w:pPr>
        <w:spacing w:after="240"/>
        <w:rPr>
          <w:rFonts w:asciiTheme="minorBidi" w:eastAsia="Calibri" w:hAnsiTheme="minorBidi" w:cstheme="minorBidi"/>
          <w:sz w:val="24"/>
          <w:szCs w:val="24"/>
        </w:rPr>
      </w:pPr>
      <w:r w:rsidRPr="00DF4BDA">
        <w:rPr>
          <w:rFonts w:asciiTheme="minorBidi" w:hAnsiTheme="minorBidi" w:cstheme="minorBidi"/>
          <w:sz w:val="24"/>
          <w:szCs w:val="24"/>
        </w:rPr>
        <w:t xml:space="preserve">4.5 The suggestion that teachers need to “be creative in finding ways to adapt the curriculum” to make the content age and stage appropriate for ASN learners is vague given the nature and sensitivity of the topics, it is even more important that teachers are provided with differentiated materials as part of the RSHP curriculum to ensure that ASN pupils are confidently catered for. There are differentiated materials and programmes on the RSHP website which should be signposted here: </w:t>
      </w:r>
      <w:proofErr w:type="gramStart"/>
      <w:r w:rsidRPr="00DF4BDA">
        <w:rPr>
          <w:rFonts w:asciiTheme="minorBidi" w:eastAsia="Calibri" w:hAnsiTheme="minorBidi" w:cstheme="minorBidi"/>
          <w:sz w:val="24"/>
          <w:szCs w:val="24"/>
        </w:rPr>
        <w:t>https://rshp.scot/learners-with-additional-support-needs-asn/programmes-resources-to-support-learning/</w:t>
      </w:r>
      <w:proofErr w:type="gramEnd"/>
      <w:r w:rsidRPr="00DF4BDA">
        <w:rPr>
          <w:rFonts w:asciiTheme="minorBidi" w:eastAsia="Calibri" w:hAnsiTheme="minorBidi" w:cstheme="minorBidi"/>
          <w:sz w:val="24"/>
          <w:szCs w:val="24"/>
        </w:rPr>
        <w:t xml:space="preserve"> </w:t>
      </w:r>
    </w:p>
    <w:p w14:paraId="2FD1C15C" w14:textId="77777777" w:rsidR="001377F2" w:rsidRPr="00DF4BDA" w:rsidRDefault="001377F2" w:rsidP="006F58D4">
      <w:pPr>
        <w:spacing w:after="240"/>
        <w:rPr>
          <w:rFonts w:asciiTheme="minorBidi" w:eastAsia="Calibri" w:hAnsiTheme="minorBidi" w:cstheme="minorBidi"/>
          <w:sz w:val="24"/>
          <w:szCs w:val="24"/>
        </w:rPr>
      </w:pPr>
      <w:r w:rsidRPr="00DF4BDA">
        <w:rPr>
          <w:rFonts w:asciiTheme="minorBidi" w:eastAsia="Calibri" w:hAnsiTheme="minorBidi" w:cstheme="minorBidi"/>
          <w:sz w:val="24"/>
          <w:szCs w:val="24"/>
        </w:rPr>
        <w:t>4.6 We agree with this premise but again feel that appropriate resources should be signposted here, given the potential for causing confusion and upset.</w:t>
      </w:r>
    </w:p>
    <w:p w14:paraId="1CF3B759" w14:textId="6F35939E" w:rsidR="001377F2" w:rsidRPr="00DF4BDA" w:rsidRDefault="001377F2" w:rsidP="006F58D4">
      <w:pPr>
        <w:spacing w:after="240"/>
        <w:rPr>
          <w:rFonts w:asciiTheme="minorBidi" w:eastAsia="Calibri" w:hAnsiTheme="minorBidi" w:cstheme="minorBidi"/>
          <w:sz w:val="24"/>
          <w:szCs w:val="24"/>
        </w:rPr>
      </w:pPr>
      <w:r w:rsidRPr="00DF4BDA">
        <w:rPr>
          <w:rFonts w:asciiTheme="minorBidi" w:eastAsia="Calibri" w:hAnsiTheme="minorBidi" w:cstheme="minorBidi"/>
          <w:sz w:val="24"/>
          <w:szCs w:val="24"/>
        </w:rPr>
        <w:t>4,10 We agree with the premise of this guidance but feel that the phrasing “</w:t>
      </w:r>
      <w:r w:rsidR="00345CE1">
        <w:rPr>
          <w:rFonts w:asciiTheme="minorBidi" w:eastAsia="Calibri" w:hAnsiTheme="minorBidi" w:cstheme="minorBidi"/>
          <w:sz w:val="24"/>
          <w:szCs w:val="24"/>
        </w:rPr>
        <w:t>c</w:t>
      </w:r>
      <w:r w:rsidRPr="00DF4BDA">
        <w:rPr>
          <w:rFonts w:asciiTheme="minorBidi" w:eastAsia="Calibri" w:hAnsiTheme="minorBidi" w:cstheme="minorBidi"/>
          <w:sz w:val="24"/>
          <w:szCs w:val="24"/>
        </w:rPr>
        <w:t>onsult with parents” is vague. Clarity around providing notification to parents/carers of the timeframe and content of RSHP lessons to allow for consultation if required would be more helpful.</w:t>
      </w:r>
    </w:p>
    <w:p w14:paraId="4CCD8B67" w14:textId="77777777" w:rsidR="001377F2" w:rsidRPr="00DF4BDA" w:rsidRDefault="001377F2" w:rsidP="006F58D4">
      <w:pPr>
        <w:spacing w:after="240"/>
        <w:rPr>
          <w:rFonts w:asciiTheme="minorBidi" w:eastAsia="Calibri" w:hAnsiTheme="minorBidi" w:cstheme="minorBidi"/>
          <w:sz w:val="24"/>
          <w:szCs w:val="24"/>
        </w:rPr>
      </w:pPr>
      <w:r w:rsidRPr="00DF4BDA">
        <w:rPr>
          <w:rFonts w:asciiTheme="minorBidi" w:eastAsia="Calibri" w:hAnsiTheme="minorBidi" w:cstheme="minorBidi"/>
          <w:sz w:val="24"/>
          <w:szCs w:val="24"/>
        </w:rPr>
        <w:t>4.12 is very clear and helpful.</w:t>
      </w:r>
    </w:p>
    <w:p w14:paraId="0469BF7F" w14:textId="1ADF0EE2" w:rsidR="001377F2" w:rsidRPr="00DF4BDA" w:rsidRDefault="001377F2" w:rsidP="006F58D4">
      <w:pPr>
        <w:spacing w:after="240"/>
        <w:rPr>
          <w:rFonts w:asciiTheme="minorBidi" w:eastAsia="Calibri" w:hAnsiTheme="minorBidi" w:cstheme="minorBidi"/>
          <w:b/>
          <w:bCs/>
          <w:sz w:val="24"/>
          <w:szCs w:val="24"/>
        </w:rPr>
      </w:pPr>
      <w:r w:rsidRPr="00DF4BDA">
        <w:rPr>
          <w:rFonts w:asciiTheme="minorBidi" w:eastAsia="Calibri" w:hAnsiTheme="minorBidi" w:cstheme="minorBidi"/>
          <w:b/>
          <w:bCs/>
          <w:sz w:val="24"/>
          <w:szCs w:val="24"/>
        </w:rPr>
        <w:t>References</w:t>
      </w:r>
    </w:p>
    <w:p w14:paraId="67E40CC7" w14:textId="77777777" w:rsidR="001377F2" w:rsidRPr="00345CE1" w:rsidRDefault="001377F2" w:rsidP="006F58D4">
      <w:pPr>
        <w:rPr>
          <w:rFonts w:asciiTheme="minorBidi" w:hAnsiTheme="minorBidi" w:cstheme="minorBidi"/>
        </w:rPr>
      </w:pPr>
      <w:r w:rsidRPr="00345CE1">
        <w:rPr>
          <w:rFonts w:asciiTheme="minorBidi" w:eastAsia="Calibri" w:hAnsiTheme="minorBidi" w:cstheme="minorBidi"/>
        </w:rPr>
        <w:t xml:space="preserve">Lewis, R., Blake, C., McMellon C., Riddell J., Graham C., Mitchell K. (2021). Understanding young people’s use and non-use of condoms and contraception: A co-developed, mixed-methods study with </w:t>
      </w:r>
      <w:proofErr w:type="gramStart"/>
      <w:r w:rsidRPr="00345CE1">
        <w:rPr>
          <w:rFonts w:asciiTheme="minorBidi" w:eastAsia="Calibri" w:hAnsiTheme="minorBidi" w:cstheme="minorBidi"/>
        </w:rPr>
        <w:t>16-24 year olds</w:t>
      </w:r>
      <w:proofErr w:type="gramEnd"/>
      <w:r w:rsidRPr="00345CE1">
        <w:rPr>
          <w:rFonts w:asciiTheme="minorBidi" w:eastAsia="Calibri" w:hAnsiTheme="minorBidi" w:cstheme="minorBidi"/>
        </w:rPr>
        <w:t xml:space="preserve"> in Scotland. Final report from CONUNDRUM (</w:t>
      </w:r>
      <w:proofErr w:type="spellStart"/>
      <w:r w:rsidRPr="00345CE1">
        <w:rPr>
          <w:rFonts w:asciiTheme="minorBidi" w:eastAsia="Calibri" w:hAnsiTheme="minorBidi" w:cstheme="minorBidi"/>
        </w:rPr>
        <w:t>CONdom</w:t>
      </w:r>
      <w:proofErr w:type="spellEnd"/>
      <w:r w:rsidRPr="00345CE1">
        <w:rPr>
          <w:rFonts w:asciiTheme="minorBidi" w:eastAsia="Calibri" w:hAnsiTheme="minorBidi" w:cstheme="minorBidi"/>
        </w:rPr>
        <w:t xml:space="preserve"> and </w:t>
      </w:r>
      <w:proofErr w:type="spellStart"/>
      <w:r w:rsidRPr="00345CE1">
        <w:rPr>
          <w:rFonts w:asciiTheme="minorBidi" w:eastAsia="Calibri" w:hAnsiTheme="minorBidi" w:cstheme="minorBidi"/>
        </w:rPr>
        <w:t>CONtraception</w:t>
      </w:r>
      <w:proofErr w:type="spellEnd"/>
      <w:r w:rsidRPr="00345CE1">
        <w:rPr>
          <w:rFonts w:asciiTheme="minorBidi" w:eastAsia="Calibri" w:hAnsiTheme="minorBidi" w:cstheme="minorBidi"/>
        </w:rPr>
        <w:t xml:space="preserve"> </w:t>
      </w:r>
      <w:proofErr w:type="spellStart"/>
      <w:r w:rsidRPr="00345CE1">
        <w:rPr>
          <w:rFonts w:asciiTheme="minorBidi" w:eastAsia="Calibri" w:hAnsiTheme="minorBidi" w:cstheme="minorBidi"/>
        </w:rPr>
        <w:t>UNDerstandings</w:t>
      </w:r>
      <w:proofErr w:type="spellEnd"/>
      <w:r w:rsidRPr="00345CE1">
        <w:rPr>
          <w:rFonts w:asciiTheme="minorBidi" w:eastAsia="Calibri" w:hAnsiTheme="minorBidi" w:cstheme="minorBidi"/>
        </w:rPr>
        <w:t>: Researching Uptake and Motivations). MRC/CSO Social and Public Health Sciences Unit: University of Glasgow.</w:t>
      </w:r>
    </w:p>
    <w:p w14:paraId="7A74E295" w14:textId="77777777" w:rsidR="00031472" w:rsidRPr="00DF4BDA" w:rsidRDefault="00031472" w:rsidP="006F58D4">
      <w:pPr>
        <w:rPr>
          <w:rFonts w:asciiTheme="minorBidi" w:hAnsiTheme="minorBidi" w:cstheme="minorBidi"/>
          <w:bCs/>
          <w:iCs/>
          <w:sz w:val="24"/>
          <w:szCs w:val="24"/>
        </w:rPr>
      </w:pPr>
    </w:p>
    <w:p w14:paraId="1F1F92A1" w14:textId="4EA02E83" w:rsidR="00657F52" w:rsidRPr="00DF4BDA" w:rsidRDefault="00657F52" w:rsidP="006F58D4">
      <w:pPr>
        <w:rPr>
          <w:rFonts w:asciiTheme="minorBidi" w:hAnsiTheme="minorBidi" w:cstheme="minorBidi"/>
          <w:b/>
          <w:iCs/>
          <w:sz w:val="24"/>
          <w:szCs w:val="24"/>
        </w:rPr>
      </w:pPr>
      <w:r w:rsidRPr="00DF4BDA">
        <w:rPr>
          <w:rFonts w:asciiTheme="minorBidi" w:hAnsiTheme="minorBidi" w:cstheme="minorBidi"/>
          <w:b/>
          <w:iCs/>
          <w:sz w:val="24"/>
          <w:szCs w:val="24"/>
        </w:rPr>
        <w:t>Date of submission</w:t>
      </w:r>
    </w:p>
    <w:p w14:paraId="48EE98EC" w14:textId="4C586D30" w:rsidR="00082EC8" w:rsidRPr="00DF4BDA" w:rsidRDefault="00082EC8" w:rsidP="006F58D4">
      <w:pPr>
        <w:rPr>
          <w:rFonts w:asciiTheme="minorBidi" w:hAnsiTheme="minorBidi" w:cstheme="minorBidi"/>
          <w:b/>
          <w:iCs/>
          <w:sz w:val="24"/>
          <w:szCs w:val="24"/>
        </w:rPr>
      </w:pPr>
    </w:p>
    <w:p w14:paraId="7AD367D6" w14:textId="73979FEC" w:rsidR="00031472" w:rsidRPr="00DF4BDA" w:rsidRDefault="001377F2" w:rsidP="006F58D4">
      <w:pPr>
        <w:rPr>
          <w:rFonts w:asciiTheme="minorBidi" w:hAnsiTheme="minorBidi" w:cstheme="minorBidi"/>
          <w:bCs/>
          <w:iCs/>
          <w:sz w:val="24"/>
          <w:szCs w:val="24"/>
        </w:rPr>
      </w:pPr>
      <w:r w:rsidRPr="00DF4BDA">
        <w:rPr>
          <w:rFonts w:asciiTheme="minorBidi" w:hAnsiTheme="minorBidi" w:cstheme="minorBidi"/>
          <w:bCs/>
          <w:iCs/>
          <w:sz w:val="24"/>
          <w:szCs w:val="24"/>
        </w:rPr>
        <w:t>22</w:t>
      </w:r>
      <w:r w:rsidRPr="00DF4BDA">
        <w:rPr>
          <w:rFonts w:asciiTheme="minorBidi" w:hAnsiTheme="minorBidi" w:cstheme="minorBidi"/>
          <w:bCs/>
          <w:iCs/>
          <w:sz w:val="24"/>
          <w:szCs w:val="24"/>
          <w:vertAlign w:val="superscript"/>
        </w:rPr>
        <w:t>nd</w:t>
      </w:r>
      <w:r w:rsidRPr="00DF4BDA">
        <w:rPr>
          <w:rFonts w:asciiTheme="minorBidi" w:hAnsiTheme="minorBidi" w:cstheme="minorBidi"/>
          <w:bCs/>
          <w:iCs/>
          <w:sz w:val="24"/>
          <w:szCs w:val="24"/>
        </w:rPr>
        <w:t xml:space="preserve"> November 2023</w:t>
      </w:r>
    </w:p>
    <w:p w14:paraId="0AC0DE1E" w14:textId="77777777" w:rsidR="00657F52" w:rsidRPr="00DF4BDA" w:rsidRDefault="00657F52" w:rsidP="006F58D4">
      <w:pPr>
        <w:rPr>
          <w:rFonts w:asciiTheme="minorBidi" w:hAnsiTheme="minorBidi" w:cstheme="minorBidi"/>
          <w:b/>
          <w:iCs/>
          <w:sz w:val="24"/>
          <w:szCs w:val="24"/>
        </w:rPr>
      </w:pPr>
    </w:p>
    <w:p w14:paraId="204946EC" w14:textId="7EF89585" w:rsidR="00657F52" w:rsidRPr="00DF4BDA" w:rsidRDefault="00657F52" w:rsidP="006F58D4">
      <w:pPr>
        <w:rPr>
          <w:rFonts w:asciiTheme="minorBidi" w:hAnsiTheme="minorBidi" w:cstheme="minorBidi"/>
          <w:b/>
          <w:iCs/>
          <w:sz w:val="24"/>
          <w:szCs w:val="24"/>
        </w:rPr>
      </w:pPr>
      <w:r w:rsidRPr="00DF4BDA">
        <w:rPr>
          <w:rFonts w:asciiTheme="minorBidi" w:hAnsiTheme="minorBidi" w:cstheme="minorBidi"/>
          <w:b/>
          <w:iCs/>
          <w:sz w:val="24"/>
          <w:szCs w:val="24"/>
        </w:rPr>
        <w:t xml:space="preserve">Who to contact about this </w:t>
      </w:r>
      <w:proofErr w:type="gramStart"/>
      <w:r w:rsidRPr="00DF4BDA">
        <w:rPr>
          <w:rFonts w:asciiTheme="minorBidi" w:hAnsiTheme="minorBidi" w:cstheme="minorBidi"/>
          <w:b/>
          <w:iCs/>
          <w:sz w:val="24"/>
          <w:szCs w:val="24"/>
        </w:rPr>
        <w:t>response</w:t>
      </w:r>
      <w:proofErr w:type="gramEnd"/>
      <w:r w:rsidRPr="00DF4BDA">
        <w:rPr>
          <w:rFonts w:asciiTheme="minorBidi" w:hAnsiTheme="minorBidi" w:cstheme="minorBidi"/>
          <w:b/>
          <w:iCs/>
          <w:sz w:val="24"/>
          <w:szCs w:val="24"/>
        </w:rPr>
        <w:t xml:space="preserve"> </w:t>
      </w:r>
    </w:p>
    <w:p w14:paraId="3B6B3522" w14:textId="77777777" w:rsidR="00657F52" w:rsidRPr="00DF4BDA" w:rsidRDefault="00657F52" w:rsidP="006F58D4">
      <w:pPr>
        <w:rPr>
          <w:rFonts w:asciiTheme="minorBidi" w:hAnsiTheme="minorBidi" w:cstheme="minorBidi"/>
          <w:b/>
          <w:iCs/>
          <w:sz w:val="24"/>
          <w:szCs w:val="24"/>
        </w:rPr>
      </w:pPr>
    </w:p>
    <w:p w14:paraId="43E10103" w14:textId="76EA1895" w:rsidR="00082EC8" w:rsidRPr="00DF4BDA" w:rsidRDefault="001377F2" w:rsidP="006F58D4">
      <w:pPr>
        <w:rPr>
          <w:rFonts w:asciiTheme="minorBidi" w:hAnsiTheme="minorBidi" w:cstheme="minorBidi"/>
          <w:bCs/>
          <w:iCs/>
          <w:sz w:val="24"/>
          <w:szCs w:val="24"/>
        </w:rPr>
      </w:pPr>
      <w:r w:rsidRPr="00DF4BDA">
        <w:rPr>
          <w:rFonts w:asciiTheme="minorBidi" w:hAnsiTheme="minorBidi" w:cstheme="minorBidi"/>
          <w:bCs/>
          <w:iCs/>
          <w:sz w:val="24"/>
          <w:szCs w:val="24"/>
        </w:rPr>
        <w:t>Julie Riddell,</w:t>
      </w:r>
      <w:r w:rsidR="00082EC8" w:rsidRPr="00DF4BDA">
        <w:rPr>
          <w:rFonts w:asciiTheme="minorBidi" w:hAnsiTheme="minorBidi" w:cstheme="minorBidi"/>
          <w:bCs/>
          <w:iCs/>
          <w:sz w:val="24"/>
          <w:szCs w:val="24"/>
        </w:rPr>
        <w:t xml:space="preserve"> MRC/CSO Social and Public Health Sciences Unit, University of Glasgow. Email: </w:t>
      </w:r>
      <w:hyperlink r:id="rId11" w:history="1">
        <w:r w:rsidR="00BC775E" w:rsidRPr="00C434ED">
          <w:rPr>
            <w:rStyle w:val="Hyperlink"/>
            <w:rFonts w:asciiTheme="minorBidi" w:hAnsiTheme="minorBidi" w:cstheme="minorBidi"/>
            <w:bCs/>
            <w:iCs/>
            <w:sz w:val="24"/>
            <w:szCs w:val="24"/>
          </w:rPr>
          <w:t>Julie.Riddell@glasgow.ac.uk</w:t>
        </w:r>
      </w:hyperlink>
      <w:r w:rsidR="00BC775E">
        <w:rPr>
          <w:rFonts w:asciiTheme="minorBidi" w:hAnsiTheme="minorBidi" w:cstheme="minorBidi"/>
          <w:bCs/>
          <w:iCs/>
          <w:sz w:val="24"/>
          <w:szCs w:val="24"/>
        </w:rPr>
        <w:t xml:space="preserve"> </w:t>
      </w:r>
    </w:p>
    <w:p w14:paraId="3632A1E7" w14:textId="77777777" w:rsidR="00657F52" w:rsidRPr="00DF4BDA" w:rsidRDefault="00657F52" w:rsidP="006F58D4">
      <w:pPr>
        <w:rPr>
          <w:rFonts w:asciiTheme="minorBidi" w:hAnsiTheme="minorBidi" w:cstheme="minorBidi"/>
          <w:sz w:val="24"/>
          <w:szCs w:val="24"/>
        </w:rPr>
      </w:pPr>
    </w:p>
    <w:p w14:paraId="55FBA800" w14:textId="5ADB0282" w:rsidR="00657F52" w:rsidRPr="00DF4BDA" w:rsidRDefault="00657F52" w:rsidP="006F58D4">
      <w:pPr>
        <w:rPr>
          <w:rFonts w:asciiTheme="minorBidi" w:hAnsiTheme="minorBidi" w:cstheme="minorBidi"/>
          <w:bCs/>
          <w:iCs/>
          <w:sz w:val="24"/>
          <w:szCs w:val="24"/>
        </w:rPr>
      </w:pPr>
      <w:r w:rsidRPr="00DF4BDA">
        <w:rPr>
          <w:rFonts w:asciiTheme="minorBidi" w:hAnsiTheme="minorBidi" w:cstheme="minorBidi"/>
          <w:bCs/>
          <w:iCs/>
          <w:sz w:val="24"/>
          <w:szCs w:val="24"/>
        </w:rPr>
        <w:t xml:space="preserve">Visit our website </w:t>
      </w:r>
      <w:hyperlink r:id="rId12" w:history="1">
        <w:r w:rsidRPr="00DF4BDA">
          <w:rPr>
            <w:rStyle w:val="Hyperlink"/>
            <w:rFonts w:asciiTheme="minorBidi" w:hAnsiTheme="minorBidi" w:cstheme="minorBidi"/>
            <w:bCs/>
            <w:iCs/>
            <w:sz w:val="24"/>
            <w:szCs w:val="24"/>
          </w:rPr>
          <w:t>www.gla.ac.uk/sphsu</w:t>
        </w:r>
      </w:hyperlink>
      <w:r w:rsidRPr="00DF4BDA">
        <w:rPr>
          <w:rFonts w:asciiTheme="minorBidi" w:hAnsiTheme="minorBidi" w:cstheme="minorBidi"/>
          <w:bCs/>
          <w:iCs/>
          <w:sz w:val="24"/>
          <w:szCs w:val="24"/>
        </w:rPr>
        <w:t xml:space="preserve"> and follow us </w:t>
      </w:r>
      <w:hyperlink r:id="rId13" w:history="1">
        <w:r w:rsidRPr="00DF4BDA">
          <w:rPr>
            <w:rStyle w:val="Hyperlink"/>
            <w:rFonts w:asciiTheme="minorBidi" w:hAnsiTheme="minorBidi" w:cstheme="minorBidi"/>
            <w:bCs/>
            <w:iCs/>
            <w:sz w:val="24"/>
            <w:szCs w:val="24"/>
          </w:rPr>
          <w:t>@theSPHSU</w:t>
        </w:r>
      </w:hyperlink>
    </w:p>
    <w:p w14:paraId="498F8D40" w14:textId="77777777" w:rsidR="0051108F" w:rsidRPr="00DF4BDA" w:rsidRDefault="0051108F" w:rsidP="006F58D4">
      <w:pPr>
        <w:rPr>
          <w:rFonts w:asciiTheme="minorBidi" w:hAnsiTheme="minorBidi" w:cstheme="minorBidi"/>
          <w:bCs/>
          <w:iCs/>
          <w:sz w:val="24"/>
          <w:szCs w:val="24"/>
        </w:rPr>
      </w:pPr>
    </w:p>
    <w:p w14:paraId="769C42E9" w14:textId="0C7180A1" w:rsidR="00082EC8" w:rsidRPr="00DF4BDA" w:rsidRDefault="00082EC8" w:rsidP="001A1339">
      <w:pPr>
        <w:rPr>
          <w:rFonts w:asciiTheme="minorBidi" w:hAnsiTheme="minorBidi" w:cstheme="minorBidi"/>
          <w:bCs/>
          <w:iCs/>
          <w:sz w:val="24"/>
          <w:szCs w:val="24"/>
        </w:rPr>
      </w:pPr>
      <w:r w:rsidRPr="00DF4BDA">
        <w:rPr>
          <w:rFonts w:asciiTheme="minorBidi" w:hAnsiTheme="minorBidi" w:cstheme="minorBidi"/>
          <w:bCs/>
          <w:iCs/>
          <w:sz w:val="24"/>
          <w:szCs w:val="24"/>
        </w:rPr>
        <w:t>MRC/CSO Social and Public Health Sciences Unit</w:t>
      </w:r>
      <w:r w:rsidR="001A1339">
        <w:rPr>
          <w:rFonts w:asciiTheme="minorBidi" w:hAnsiTheme="minorBidi" w:cstheme="minorBidi"/>
          <w:bCs/>
          <w:iCs/>
          <w:sz w:val="24"/>
          <w:szCs w:val="24"/>
        </w:rPr>
        <w:t xml:space="preserve">, </w:t>
      </w:r>
      <w:r w:rsidRPr="00DF4BDA">
        <w:rPr>
          <w:rFonts w:asciiTheme="minorBidi" w:hAnsiTheme="minorBidi" w:cstheme="minorBidi"/>
          <w:bCs/>
          <w:iCs/>
          <w:sz w:val="24"/>
          <w:szCs w:val="24"/>
        </w:rPr>
        <w:t xml:space="preserve">School of </w:t>
      </w:r>
      <w:proofErr w:type="gramStart"/>
      <w:r w:rsidRPr="00DF4BDA">
        <w:rPr>
          <w:rFonts w:asciiTheme="minorBidi" w:hAnsiTheme="minorBidi" w:cstheme="minorBidi"/>
          <w:bCs/>
          <w:iCs/>
          <w:sz w:val="24"/>
          <w:szCs w:val="24"/>
        </w:rPr>
        <w:t>Health</w:t>
      </w:r>
      <w:proofErr w:type="gramEnd"/>
      <w:r w:rsidRPr="00DF4BDA">
        <w:rPr>
          <w:rFonts w:asciiTheme="minorBidi" w:hAnsiTheme="minorBidi" w:cstheme="minorBidi"/>
          <w:bCs/>
          <w:iCs/>
          <w:sz w:val="24"/>
          <w:szCs w:val="24"/>
        </w:rPr>
        <w:t xml:space="preserve"> and Wellbeing </w:t>
      </w:r>
    </w:p>
    <w:p w14:paraId="37864E43" w14:textId="72A9FB58" w:rsidR="00082EC8" w:rsidRPr="001A1339" w:rsidRDefault="00082EC8" w:rsidP="001A1339">
      <w:pPr>
        <w:rPr>
          <w:rFonts w:asciiTheme="minorBidi" w:hAnsiTheme="minorBidi" w:cstheme="minorBidi"/>
          <w:bCs/>
          <w:iCs/>
          <w:sz w:val="24"/>
          <w:szCs w:val="24"/>
        </w:rPr>
      </w:pPr>
      <w:r w:rsidRPr="00DF4BDA">
        <w:rPr>
          <w:rFonts w:asciiTheme="minorBidi" w:hAnsiTheme="minorBidi" w:cstheme="minorBidi"/>
          <w:bCs/>
          <w:iCs/>
          <w:sz w:val="24"/>
          <w:szCs w:val="24"/>
        </w:rPr>
        <w:t>Clarice Pears Building</w:t>
      </w:r>
      <w:r w:rsidR="001A1339">
        <w:rPr>
          <w:rFonts w:asciiTheme="minorBidi" w:hAnsiTheme="minorBidi" w:cstheme="minorBidi"/>
          <w:bCs/>
          <w:iCs/>
          <w:sz w:val="24"/>
          <w:szCs w:val="24"/>
        </w:rPr>
        <w:t xml:space="preserve">, </w:t>
      </w:r>
      <w:r w:rsidRPr="00DF4BDA">
        <w:rPr>
          <w:rFonts w:asciiTheme="minorBidi" w:hAnsiTheme="minorBidi" w:cstheme="minorBidi"/>
          <w:bCs/>
          <w:iCs/>
          <w:sz w:val="24"/>
          <w:szCs w:val="24"/>
        </w:rPr>
        <w:t>90 Byres Road</w:t>
      </w:r>
      <w:r w:rsidR="001A1339">
        <w:rPr>
          <w:rFonts w:asciiTheme="minorBidi" w:hAnsiTheme="minorBidi" w:cstheme="minorBidi"/>
          <w:bCs/>
          <w:iCs/>
          <w:sz w:val="24"/>
          <w:szCs w:val="24"/>
        </w:rPr>
        <w:t xml:space="preserve">, </w:t>
      </w:r>
      <w:r w:rsidRPr="00DF4BDA">
        <w:rPr>
          <w:rFonts w:asciiTheme="minorBidi" w:hAnsiTheme="minorBidi" w:cstheme="minorBidi"/>
          <w:bCs/>
          <w:iCs/>
          <w:sz w:val="24"/>
          <w:szCs w:val="24"/>
        </w:rPr>
        <w:t>Glasgow</w:t>
      </w:r>
      <w:r w:rsidR="001A1339">
        <w:rPr>
          <w:rFonts w:asciiTheme="minorBidi" w:hAnsiTheme="minorBidi" w:cstheme="minorBidi"/>
          <w:bCs/>
          <w:iCs/>
          <w:sz w:val="24"/>
          <w:szCs w:val="24"/>
        </w:rPr>
        <w:t xml:space="preserve"> </w:t>
      </w:r>
      <w:r w:rsidRPr="00DF4BDA">
        <w:rPr>
          <w:rFonts w:asciiTheme="minorBidi" w:hAnsiTheme="minorBidi" w:cstheme="minorBidi"/>
          <w:bCs/>
          <w:iCs/>
          <w:sz w:val="24"/>
          <w:szCs w:val="24"/>
        </w:rPr>
        <w:t>G12 8TB</w:t>
      </w:r>
    </w:p>
    <w:sectPr w:rsidR="00082EC8" w:rsidRPr="001A1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C63"/>
    <w:multiLevelType w:val="multilevel"/>
    <w:tmpl w:val="879E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86375"/>
    <w:multiLevelType w:val="multilevel"/>
    <w:tmpl w:val="BC78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5D1"/>
    <w:multiLevelType w:val="hybridMultilevel"/>
    <w:tmpl w:val="FF7A9CD2"/>
    <w:lvl w:ilvl="0" w:tplc="9D207F04">
      <w:start w:val="1"/>
      <w:numFmt w:val="decimal"/>
      <w:lvlText w:val="%1."/>
      <w:lvlJc w:val="left"/>
      <w:pPr>
        <w:ind w:left="720" w:hanging="360"/>
      </w:pPr>
      <w:rPr>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D0701"/>
    <w:multiLevelType w:val="hybridMultilevel"/>
    <w:tmpl w:val="A8A67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64620"/>
    <w:multiLevelType w:val="hybridMultilevel"/>
    <w:tmpl w:val="D6C0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D7DDC"/>
    <w:multiLevelType w:val="hybridMultilevel"/>
    <w:tmpl w:val="89C82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1DAE1"/>
    <w:multiLevelType w:val="hybridMultilevel"/>
    <w:tmpl w:val="DB669C44"/>
    <w:lvl w:ilvl="0" w:tplc="477255BC">
      <w:start w:val="1"/>
      <w:numFmt w:val="upperLetter"/>
      <w:lvlText w:val="%1)"/>
      <w:lvlJc w:val="left"/>
      <w:pPr>
        <w:ind w:left="720" w:hanging="360"/>
      </w:pPr>
    </w:lvl>
    <w:lvl w:ilvl="1" w:tplc="9E3E41EC">
      <w:start w:val="1"/>
      <w:numFmt w:val="lowerLetter"/>
      <w:lvlText w:val="%2."/>
      <w:lvlJc w:val="left"/>
      <w:pPr>
        <w:ind w:left="1440" w:hanging="360"/>
      </w:pPr>
    </w:lvl>
    <w:lvl w:ilvl="2" w:tplc="8BC8E446">
      <w:start w:val="1"/>
      <w:numFmt w:val="lowerRoman"/>
      <w:lvlText w:val="%3."/>
      <w:lvlJc w:val="right"/>
      <w:pPr>
        <w:ind w:left="2160" w:hanging="180"/>
      </w:pPr>
    </w:lvl>
    <w:lvl w:ilvl="3" w:tplc="ED2C439C">
      <w:start w:val="1"/>
      <w:numFmt w:val="decimal"/>
      <w:lvlText w:val="%4."/>
      <w:lvlJc w:val="left"/>
      <w:pPr>
        <w:ind w:left="2880" w:hanging="360"/>
      </w:pPr>
    </w:lvl>
    <w:lvl w:ilvl="4" w:tplc="074C50EE">
      <w:start w:val="1"/>
      <w:numFmt w:val="lowerLetter"/>
      <w:lvlText w:val="%5."/>
      <w:lvlJc w:val="left"/>
      <w:pPr>
        <w:ind w:left="3600" w:hanging="360"/>
      </w:pPr>
    </w:lvl>
    <w:lvl w:ilvl="5" w:tplc="2D464532">
      <w:start w:val="1"/>
      <w:numFmt w:val="lowerRoman"/>
      <w:lvlText w:val="%6."/>
      <w:lvlJc w:val="right"/>
      <w:pPr>
        <w:ind w:left="4320" w:hanging="180"/>
      </w:pPr>
    </w:lvl>
    <w:lvl w:ilvl="6" w:tplc="E24C356A">
      <w:start w:val="1"/>
      <w:numFmt w:val="decimal"/>
      <w:lvlText w:val="%7."/>
      <w:lvlJc w:val="left"/>
      <w:pPr>
        <w:ind w:left="5040" w:hanging="360"/>
      </w:pPr>
    </w:lvl>
    <w:lvl w:ilvl="7" w:tplc="78060722">
      <w:start w:val="1"/>
      <w:numFmt w:val="lowerLetter"/>
      <w:lvlText w:val="%8."/>
      <w:lvlJc w:val="left"/>
      <w:pPr>
        <w:ind w:left="5760" w:hanging="360"/>
      </w:pPr>
    </w:lvl>
    <w:lvl w:ilvl="8" w:tplc="FBEAD878">
      <w:start w:val="1"/>
      <w:numFmt w:val="lowerRoman"/>
      <w:lvlText w:val="%9."/>
      <w:lvlJc w:val="right"/>
      <w:pPr>
        <w:ind w:left="6480" w:hanging="180"/>
      </w:pPr>
    </w:lvl>
  </w:abstractNum>
  <w:abstractNum w:abstractNumId="7" w15:restartNumberingAfterBreak="0">
    <w:nsid w:val="3A481823"/>
    <w:multiLevelType w:val="multilevel"/>
    <w:tmpl w:val="370E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5C66F"/>
    <w:multiLevelType w:val="hybridMultilevel"/>
    <w:tmpl w:val="A4D8712A"/>
    <w:lvl w:ilvl="0" w:tplc="D43ED86A">
      <w:start w:val="1"/>
      <w:numFmt w:val="upperLetter"/>
      <w:lvlText w:val="%1)"/>
      <w:lvlJc w:val="left"/>
      <w:pPr>
        <w:ind w:left="720" w:hanging="360"/>
      </w:pPr>
    </w:lvl>
    <w:lvl w:ilvl="1" w:tplc="F63C1A38">
      <w:start w:val="1"/>
      <w:numFmt w:val="lowerLetter"/>
      <w:lvlText w:val="%2."/>
      <w:lvlJc w:val="left"/>
      <w:pPr>
        <w:ind w:left="1440" w:hanging="360"/>
      </w:pPr>
    </w:lvl>
    <w:lvl w:ilvl="2" w:tplc="19CE708A">
      <w:start w:val="1"/>
      <w:numFmt w:val="lowerRoman"/>
      <w:lvlText w:val="%3."/>
      <w:lvlJc w:val="right"/>
      <w:pPr>
        <w:ind w:left="2160" w:hanging="180"/>
      </w:pPr>
    </w:lvl>
    <w:lvl w:ilvl="3" w:tplc="C0286256">
      <w:start w:val="1"/>
      <w:numFmt w:val="decimal"/>
      <w:lvlText w:val="%4."/>
      <w:lvlJc w:val="left"/>
      <w:pPr>
        <w:ind w:left="2880" w:hanging="360"/>
      </w:pPr>
    </w:lvl>
    <w:lvl w:ilvl="4" w:tplc="1ADCB1E4">
      <w:start w:val="1"/>
      <w:numFmt w:val="lowerLetter"/>
      <w:lvlText w:val="%5."/>
      <w:lvlJc w:val="left"/>
      <w:pPr>
        <w:ind w:left="3600" w:hanging="360"/>
      </w:pPr>
    </w:lvl>
    <w:lvl w:ilvl="5" w:tplc="0F963226">
      <w:start w:val="1"/>
      <w:numFmt w:val="lowerRoman"/>
      <w:lvlText w:val="%6."/>
      <w:lvlJc w:val="right"/>
      <w:pPr>
        <w:ind w:left="4320" w:hanging="180"/>
      </w:pPr>
    </w:lvl>
    <w:lvl w:ilvl="6" w:tplc="3F785C50">
      <w:start w:val="1"/>
      <w:numFmt w:val="decimal"/>
      <w:lvlText w:val="%7."/>
      <w:lvlJc w:val="left"/>
      <w:pPr>
        <w:ind w:left="5040" w:hanging="360"/>
      </w:pPr>
    </w:lvl>
    <w:lvl w:ilvl="7" w:tplc="EBA6DA86">
      <w:start w:val="1"/>
      <w:numFmt w:val="lowerLetter"/>
      <w:lvlText w:val="%8."/>
      <w:lvlJc w:val="left"/>
      <w:pPr>
        <w:ind w:left="5760" w:hanging="360"/>
      </w:pPr>
    </w:lvl>
    <w:lvl w:ilvl="8" w:tplc="F70E8B0E">
      <w:start w:val="1"/>
      <w:numFmt w:val="lowerRoman"/>
      <w:lvlText w:val="%9."/>
      <w:lvlJc w:val="right"/>
      <w:pPr>
        <w:ind w:left="6480" w:hanging="180"/>
      </w:pPr>
    </w:lvl>
  </w:abstractNum>
  <w:abstractNum w:abstractNumId="9" w15:restartNumberingAfterBreak="0">
    <w:nsid w:val="3F310734"/>
    <w:multiLevelType w:val="hybridMultilevel"/>
    <w:tmpl w:val="70F4A09C"/>
    <w:lvl w:ilvl="0" w:tplc="2F02EFE6">
      <w:start w:val="1"/>
      <w:numFmt w:val="upperLetter"/>
      <w:lvlText w:val="%1)"/>
      <w:lvlJc w:val="left"/>
      <w:pPr>
        <w:ind w:left="720" w:hanging="360"/>
      </w:pPr>
    </w:lvl>
    <w:lvl w:ilvl="1" w:tplc="F528B1AE">
      <w:start w:val="1"/>
      <w:numFmt w:val="lowerLetter"/>
      <w:lvlText w:val="%2."/>
      <w:lvlJc w:val="left"/>
      <w:pPr>
        <w:ind w:left="1440" w:hanging="360"/>
      </w:pPr>
    </w:lvl>
    <w:lvl w:ilvl="2" w:tplc="0BB80A90">
      <w:start w:val="1"/>
      <w:numFmt w:val="lowerRoman"/>
      <w:lvlText w:val="%3."/>
      <w:lvlJc w:val="right"/>
      <w:pPr>
        <w:ind w:left="2160" w:hanging="180"/>
      </w:pPr>
    </w:lvl>
    <w:lvl w:ilvl="3" w:tplc="9AF2D5CC">
      <w:start w:val="1"/>
      <w:numFmt w:val="decimal"/>
      <w:lvlText w:val="%4."/>
      <w:lvlJc w:val="left"/>
      <w:pPr>
        <w:ind w:left="2880" w:hanging="360"/>
      </w:pPr>
    </w:lvl>
    <w:lvl w:ilvl="4" w:tplc="AC048A5C">
      <w:start w:val="1"/>
      <w:numFmt w:val="lowerLetter"/>
      <w:lvlText w:val="%5."/>
      <w:lvlJc w:val="left"/>
      <w:pPr>
        <w:ind w:left="3600" w:hanging="360"/>
      </w:pPr>
    </w:lvl>
    <w:lvl w:ilvl="5" w:tplc="76BA4D68">
      <w:start w:val="1"/>
      <w:numFmt w:val="lowerRoman"/>
      <w:lvlText w:val="%6."/>
      <w:lvlJc w:val="right"/>
      <w:pPr>
        <w:ind w:left="4320" w:hanging="180"/>
      </w:pPr>
    </w:lvl>
    <w:lvl w:ilvl="6" w:tplc="25E043E2">
      <w:start w:val="1"/>
      <w:numFmt w:val="decimal"/>
      <w:lvlText w:val="%7."/>
      <w:lvlJc w:val="left"/>
      <w:pPr>
        <w:ind w:left="5040" w:hanging="360"/>
      </w:pPr>
    </w:lvl>
    <w:lvl w:ilvl="7" w:tplc="CB0AFB44">
      <w:start w:val="1"/>
      <w:numFmt w:val="lowerLetter"/>
      <w:lvlText w:val="%8."/>
      <w:lvlJc w:val="left"/>
      <w:pPr>
        <w:ind w:left="5760" w:hanging="360"/>
      </w:pPr>
    </w:lvl>
    <w:lvl w:ilvl="8" w:tplc="16729C56">
      <w:start w:val="1"/>
      <w:numFmt w:val="lowerRoman"/>
      <w:lvlText w:val="%9."/>
      <w:lvlJc w:val="right"/>
      <w:pPr>
        <w:ind w:left="6480" w:hanging="180"/>
      </w:pPr>
    </w:lvl>
  </w:abstractNum>
  <w:abstractNum w:abstractNumId="10" w15:restartNumberingAfterBreak="0">
    <w:nsid w:val="4E3C2C2B"/>
    <w:multiLevelType w:val="hybridMultilevel"/>
    <w:tmpl w:val="5F80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A267F"/>
    <w:multiLevelType w:val="hybridMultilevel"/>
    <w:tmpl w:val="147C3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E4F23F"/>
    <w:multiLevelType w:val="hybridMultilevel"/>
    <w:tmpl w:val="566E146A"/>
    <w:lvl w:ilvl="0" w:tplc="94AE70AE">
      <w:start w:val="1"/>
      <w:numFmt w:val="upperLetter"/>
      <w:lvlText w:val="%1)"/>
      <w:lvlJc w:val="left"/>
      <w:pPr>
        <w:ind w:left="720" w:hanging="360"/>
      </w:pPr>
    </w:lvl>
    <w:lvl w:ilvl="1" w:tplc="224ACDD8">
      <w:start w:val="1"/>
      <w:numFmt w:val="lowerLetter"/>
      <w:lvlText w:val="%2."/>
      <w:lvlJc w:val="left"/>
      <w:pPr>
        <w:ind w:left="1440" w:hanging="360"/>
      </w:pPr>
    </w:lvl>
    <w:lvl w:ilvl="2" w:tplc="6EDC6334">
      <w:start w:val="1"/>
      <w:numFmt w:val="lowerRoman"/>
      <w:lvlText w:val="%3."/>
      <w:lvlJc w:val="right"/>
      <w:pPr>
        <w:ind w:left="2160" w:hanging="180"/>
      </w:pPr>
    </w:lvl>
    <w:lvl w:ilvl="3" w:tplc="1E1C91E0">
      <w:start w:val="1"/>
      <w:numFmt w:val="decimal"/>
      <w:lvlText w:val="%4."/>
      <w:lvlJc w:val="left"/>
      <w:pPr>
        <w:ind w:left="2880" w:hanging="360"/>
      </w:pPr>
    </w:lvl>
    <w:lvl w:ilvl="4" w:tplc="B49A04F4">
      <w:start w:val="1"/>
      <w:numFmt w:val="lowerLetter"/>
      <w:lvlText w:val="%5."/>
      <w:lvlJc w:val="left"/>
      <w:pPr>
        <w:ind w:left="3600" w:hanging="360"/>
      </w:pPr>
    </w:lvl>
    <w:lvl w:ilvl="5" w:tplc="52C6ED42">
      <w:start w:val="1"/>
      <w:numFmt w:val="lowerRoman"/>
      <w:lvlText w:val="%6."/>
      <w:lvlJc w:val="right"/>
      <w:pPr>
        <w:ind w:left="4320" w:hanging="180"/>
      </w:pPr>
    </w:lvl>
    <w:lvl w:ilvl="6" w:tplc="9B5243B6">
      <w:start w:val="1"/>
      <w:numFmt w:val="decimal"/>
      <w:lvlText w:val="%7."/>
      <w:lvlJc w:val="left"/>
      <w:pPr>
        <w:ind w:left="5040" w:hanging="360"/>
      </w:pPr>
    </w:lvl>
    <w:lvl w:ilvl="7" w:tplc="0F08126C">
      <w:start w:val="1"/>
      <w:numFmt w:val="lowerLetter"/>
      <w:lvlText w:val="%8."/>
      <w:lvlJc w:val="left"/>
      <w:pPr>
        <w:ind w:left="5760" w:hanging="360"/>
      </w:pPr>
    </w:lvl>
    <w:lvl w:ilvl="8" w:tplc="3F6675AC">
      <w:start w:val="1"/>
      <w:numFmt w:val="lowerRoman"/>
      <w:lvlText w:val="%9."/>
      <w:lvlJc w:val="right"/>
      <w:pPr>
        <w:ind w:left="6480" w:hanging="180"/>
      </w:pPr>
    </w:lvl>
  </w:abstractNum>
  <w:abstractNum w:abstractNumId="13" w15:restartNumberingAfterBreak="0">
    <w:nsid w:val="606D452E"/>
    <w:multiLevelType w:val="hybridMultilevel"/>
    <w:tmpl w:val="12F6BC7C"/>
    <w:lvl w:ilvl="0" w:tplc="8626026A">
      <w:start w:val="1"/>
      <w:numFmt w:val="upperLetter"/>
      <w:lvlText w:val="%1)"/>
      <w:lvlJc w:val="left"/>
      <w:pPr>
        <w:ind w:left="720" w:hanging="360"/>
      </w:pPr>
    </w:lvl>
    <w:lvl w:ilvl="1" w:tplc="EDDE2590">
      <w:start w:val="1"/>
      <w:numFmt w:val="lowerLetter"/>
      <w:lvlText w:val="%2."/>
      <w:lvlJc w:val="left"/>
      <w:pPr>
        <w:ind w:left="1440" w:hanging="360"/>
      </w:pPr>
    </w:lvl>
    <w:lvl w:ilvl="2" w:tplc="4B88EEFA">
      <w:start w:val="1"/>
      <w:numFmt w:val="lowerRoman"/>
      <w:lvlText w:val="%3."/>
      <w:lvlJc w:val="right"/>
      <w:pPr>
        <w:ind w:left="2160" w:hanging="180"/>
      </w:pPr>
    </w:lvl>
    <w:lvl w:ilvl="3" w:tplc="9C70F2A8">
      <w:start w:val="1"/>
      <w:numFmt w:val="decimal"/>
      <w:lvlText w:val="%4."/>
      <w:lvlJc w:val="left"/>
      <w:pPr>
        <w:ind w:left="2880" w:hanging="360"/>
      </w:pPr>
    </w:lvl>
    <w:lvl w:ilvl="4" w:tplc="DC38F6AE">
      <w:start w:val="1"/>
      <w:numFmt w:val="lowerLetter"/>
      <w:lvlText w:val="%5."/>
      <w:lvlJc w:val="left"/>
      <w:pPr>
        <w:ind w:left="3600" w:hanging="360"/>
      </w:pPr>
    </w:lvl>
    <w:lvl w:ilvl="5" w:tplc="22C89718">
      <w:start w:val="1"/>
      <w:numFmt w:val="lowerRoman"/>
      <w:lvlText w:val="%6."/>
      <w:lvlJc w:val="right"/>
      <w:pPr>
        <w:ind w:left="4320" w:hanging="180"/>
      </w:pPr>
    </w:lvl>
    <w:lvl w:ilvl="6" w:tplc="02DC075C">
      <w:start w:val="1"/>
      <w:numFmt w:val="decimal"/>
      <w:lvlText w:val="%7."/>
      <w:lvlJc w:val="left"/>
      <w:pPr>
        <w:ind w:left="5040" w:hanging="360"/>
      </w:pPr>
    </w:lvl>
    <w:lvl w:ilvl="7" w:tplc="A678BA88">
      <w:start w:val="1"/>
      <w:numFmt w:val="lowerLetter"/>
      <w:lvlText w:val="%8."/>
      <w:lvlJc w:val="left"/>
      <w:pPr>
        <w:ind w:left="5760" w:hanging="360"/>
      </w:pPr>
    </w:lvl>
    <w:lvl w:ilvl="8" w:tplc="68B6AC06">
      <w:start w:val="1"/>
      <w:numFmt w:val="lowerRoman"/>
      <w:lvlText w:val="%9."/>
      <w:lvlJc w:val="right"/>
      <w:pPr>
        <w:ind w:left="6480" w:hanging="180"/>
      </w:pPr>
    </w:lvl>
  </w:abstractNum>
  <w:abstractNum w:abstractNumId="14" w15:restartNumberingAfterBreak="0">
    <w:nsid w:val="6E8F2911"/>
    <w:multiLevelType w:val="multilevel"/>
    <w:tmpl w:val="5864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F66F21"/>
    <w:multiLevelType w:val="hybridMultilevel"/>
    <w:tmpl w:val="DDC691EA"/>
    <w:lvl w:ilvl="0" w:tplc="51F484D6">
      <w:start w:val="1"/>
      <w:numFmt w:val="upperLetter"/>
      <w:lvlText w:val="%1)"/>
      <w:lvlJc w:val="left"/>
      <w:pPr>
        <w:ind w:left="720" w:hanging="360"/>
      </w:pPr>
    </w:lvl>
    <w:lvl w:ilvl="1" w:tplc="6C64ACE6">
      <w:start w:val="1"/>
      <w:numFmt w:val="lowerLetter"/>
      <w:lvlText w:val="%2."/>
      <w:lvlJc w:val="left"/>
      <w:pPr>
        <w:ind w:left="1440" w:hanging="360"/>
      </w:pPr>
    </w:lvl>
    <w:lvl w:ilvl="2" w:tplc="7FC6777C">
      <w:start w:val="1"/>
      <w:numFmt w:val="lowerRoman"/>
      <w:lvlText w:val="%3."/>
      <w:lvlJc w:val="right"/>
      <w:pPr>
        <w:ind w:left="2160" w:hanging="180"/>
      </w:pPr>
    </w:lvl>
    <w:lvl w:ilvl="3" w:tplc="70EA442E">
      <w:start w:val="1"/>
      <w:numFmt w:val="decimal"/>
      <w:lvlText w:val="%4."/>
      <w:lvlJc w:val="left"/>
      <w:pPr>
        <w:ind w:left="2880" w:hanging="360"/>
      </w:pPr>
    </w:lvl>
    <w:lvl w:ilvl="4" w:tplc="291C9AF6">
      <w:start w:val="1"/>
      <w:numFmt w:val="lowerLetter"/>
      <w:lvlText w:val="%5."/>
      <w:lvlJc w:val="left"/>
      <w:pPr>
        <w:ind w:left="3600" w:hanging="360"/>
      </w:pPr>
    </w:lvl>
    <w:lvl w:ilvl="5" w:tplc="6A10783E">
      <w:start w:val="1"/>
      <w:numFmt w:val="lowerRoman"/>
      <w:lvlText w:val="%6."/>
      <w:lvlJc w:val="right"/>
      <w:pPr>
        <w:ind w:left="4320" w:hanging="180"/>
      </w:pPr>
    </w:lvl>
    <w:lvl w:ilvl="6" w:tplc="5ED46A0C">
      <w:start w:val="1"/>
      <w:numFmt w:val="decimal"/>
      <w:lvlText w:val="%7."/>
      <w:lvlJc w:val="left"/>
      <w:pPr>
        <w:ind w:left="5040" w:hanging="360"/>
      </w:pPr>
    </w:lvl>
    <w:lvl w:ilvl="7" w:tplc="DEDAD6EE">
      <w:start w:val="1"/>
      <w:numFmt w:val="lowerLetter"/>
      <w:lvlText w:val="%8."/>
      <w:lvlJc w:val="left"/>
      <w:pPr>
        <w:ind w:left="5760" w:hanging="360"/>
      </w:pPr>
    </w:lvl>
    <w:lvl w:ilvl="8" w:tplc="291457DC">
      <w:start w:val="1"/>
      <w:numFmt w:val="lowerRoman"/>
      <w:lvlText w:val="%9."/>
      <w:lvlJc w:val="right"/>
      <w:pPr>
        <w:ind w:left="6480" w:hanging="180"/>
      </w:pPr>
    </w:lvl>
  </w:abstractNum>
  <w:num w:numId="1" w16cid:durableId="832767228">
    <w:abstractNumId w:val="11"/>
  </w:num>
  <w:num w:numId="2" w16cid:durableId="1795556382">
    <w:abstractNumId w:val="0"/>
  </w:num>
  <w:num w:numId="3" w16cid:durableId="2123107935">
    <w:abstractNumId w:val="1"/>
  </w:num>
  <w:num w:numId="4" w16cid:durableId="980618693">
    <w:abstractNumId w:val="14"/>
  </w:num>
  <w:num w:numId="5" w16cid:durableId="412438308">
    <w:abstractNumId w:val="7"/>
  </w:num>
  <w:num w:numId="6" w16cid:durableId="306320572">
    <w:abstractNumId w:val="5"/>
  </w:num>
  <w:num w:numId="7" w16cid:durableId="286200707">
    <w:abstractNumId w:val="3"/>
  </w:num>
  <w:num w:numId="8" w16cid:durableId="720860348">
    <w:abstractNumId w:val="4"/>
  </w:num>
  <w:num w:numId="9" w16cid:durableId="659193412">
    <w:abstractNumId w:val="10"/>
  </w:num>
  <w:num w:numId="10" w16cid:durableId="106973105">
    <w:abstractNumId w:val="2"/>
  </w:num>
  <w:num w:numId="11" w16cid:durableId="1768383669">
    <w:abstractNumId w:val="6"/>
  </w:num>
  <w:num w:numId="12" w16cid:durableId="896933710">
    <w:abstractNumId w:val="8"/>
  </w:num>
  <w:num w:numId="13" w16cid:durableId="1020006005">
    <w:abstractNumId w:val="15"/>
  </w:num>
  <w:num w:numId="14" w16cid:durableId="741106218">
    <w:abstractNumId w:val="13"/>
  </w:num>
  <w:num w:numId="15" w16cid:durableId="1600068988">
    <w:abstractNumId w:val="9"/>
  </w:num>
  <w:num w:numId="16" w16cid:durableId="1458524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C"/>
    <w:rsid w:val="00031472"/>
    <w:rsid w:val="00082EC8"/>
    <w:rsid w:val="001377F2"/>
    <w:rsid w:val="001A1339"/>
    <w:rsid w:val="0024002B"/>
    <w:rsid w:val="002A394C"/>
    <w:rsid w:val="002D1744"/>
    <w:rsid w:val="003030CE"/>
    <w:rsid w:val="00345CE1"/>
    <w:rsid w:val="00361529"/>
    <w:rsid w:val="003D186A"/>
    <w:rsid w:val="00414796"/>
    <w:rsid w:val="00433AD3"/>
    <w:rsid w:val="0051108F"/>
    <w:rsid w:val="00657F52"/>
    <w:rsid w:val="006F58D4"/>
    <w:rsid w:val="00803D24"/>
    <w:rsid w:val="00884A40"/>
    <w:rsid w:val="00921914"/>
    <w:rsid w:val="00927100"/>
    <w:rsid w:val="00963D0E"/>
    <w:rsid w:val="00AA4875"/>
    <w:rsid w:val="00AB5BDB"/>
    <w:rsid w:val="00BC775E"/>
    <w:rsid w:val="00CC239E"/>
    <w:rsid w:val="00CF41BC"/>
    <w:rsid w:val="00DF0360"/>
    <w:rsid w:val="00DF4BDA"/>
    <w:rsid w:val="00DF629C"/>
    <w:rsid w:val="00F6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F589"/>
  <w15:chartTrackingRefBased/>
  <w15:docId w15:val="{BD8D770C-46EB-4AF7-A8D5-2BD376D7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52"/>
    <w:pPr>
      <w:spacing w:after="0" w:line="240" w:lineRule="auto"/>
    </w:pPr>
    <w:rPr>
      <w:rFonts w:ascii="Calibri" w:eastAsiaTheme="minorHAnsi" w:hAnsi="Calibri" w:cs="Times New Roman"/>
      <w:kern w:val="0"/>
      <w:lang w:eastAsia="en-US"/>
      <w14:ligatures w14:val="none"/>
    </w:rPr>
  </w:style>
  <w:style w:type="paragraph" w:styleId="Heading1">
    <w:name w:val="heading 1"/>
    <w:basedOn w:val="Normal"/>
    <w:next w:val="Normal"/>
    <w:link w:val="Heading1Char"/>
    <w:uiPriority w:val="9"/>
    <w:qFormat/>
    <w:rsid w:val="001377F2"/>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2">
    <w:name w:val="heading 2"/>
    <w:basedOn w:val="Normal"/>
    <w:next w:val="Normal"/>
    <w:link w:val="Heading2Char"/>
    <w:uiPriority w:val="9"/>
    <w:unhideWhenUsed/>
    <w:qFormat/>
    <w:rsid w:val="001377F2"/>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zh-CN"/>
      <w14:ligatures w14:val="standardContextual"/>
    </w:rPr>
  </w:style>
  <w:style w:type="paragraph" w:styleId="Heading3">
    <w:name w:val="heading 3"/>
    <w:basedOn w:val="Normal"/>
    <w:next w:val="Normal"/>
    <w:link w:val="Heading3Char"/>
    <w:uiPriority w:val="9"/>
    <w:unhideWhenUsed/>
    <w:qFormat/>
    <w:rsid w:val="001377F2"/>
    <w:pPr>
      <w:keepNext/>
      <w:keepLines/>
      <w:spacing w:before="40" w:line="259" w:lineRule="auto"/>
      <w:outlineLvl w:val="2"/>
    </w:pPr>
    <w:rPr>
      <w:rFonts w:asciiTheme="majorHAnsi" w:eastAsiaTheme="majorEastAsia" w:hAnsiTheme="majorHAnsi" w:cstheme="majorBidi"/>
      <w:color w:val="1F3763" w:themeColor="accent1" w:themeShade="7F"/>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F52"/>
    <w:rPr>
      <w:color w:val="0563C1" w:themeColor="hyperlink"/>
      <w:u w:val="single"/>
    </w:rPr>
  </w:style>
  <w:style w:type="character" w:styleId="UnresolvedMention">
    <w:name w:val="Unresolved Mention"/>
    <w:basedOn w:val="DefaultParagraphFont"/>
    <w:uiPriority w:val="99"/>
    <w:semiHidden/>
    <w:unhideWhenUsed/>
    <w:rsid w:val="00657F52"/>
    <w:rPr>
      <w:color w:val="605E5C"/>
      <w:shd w:val="clear" w:color="auto" w:fill="E1DFDD"/>
    </w:rPr>
  </w:style>
  <w:style w:type="paragraph" w:styleId="ListParagraph">
    <w:name w:val="List Paragraph"/>
    <w:basedOn w:val="Normal"/>
    <w:uiPriority w:val="34"/>
    <w:qFormat/>
    <w:rsid w:val="0024002B"/>
    <w:pPr>
      <w:ind w:left="720"/>
    </w:pPr>
    <w:rPr>
      <w:rFonts w:asciiTheme="minorHAnsi" w:eastAsiaTheme="minorEastAsia" w:hAnsiTheme="minorHAnsi" w:cstheme="minorBidi"/>
      <w:kern w:val="2"/>
      <w:lang w:eastAsia="zh-CN"/>
      <w14:ligatures w14:val="standardContextual"/>
    </w:rPr>
  </w:style>
  <w:style w:type="paragraph" w:customStyle="1" w:styleId="TableParagraph">
    <w:name w:val="Table Paragraph"/>
    <w:basedOn w:val="Normal"/>
    <w:uiPriority w:val="1"/>
    <w:qFormat/>
    <w:rsid w:val="00082EC8"/>
    <w:pPr>
      <w:widowControl w:val="0"/>
      <w:autoSpaceDE w:val="0"/>
      <w:autoSpaceDN w:val="0"/>
      <w:ind w:left="107"/>
    </w:pPr>
    <w:rPr>
      <w:rFonts w:ascii="Arial" w:eastAsia="Arial" w:hAnsi="Arial" w:cs="Arial"/>
      <w:lang w:val="en-US"/>
    </w:rPr>
  </w:style>
  <w:style w:type="character" w:customStyle="1" w:styleId="Heading1Char">
    <w:name w:val="Heading 1 Char"/>
    <w:basedOn w:val="DefaultParagraphFont"/>
    <w:link w:val="Heading1"/>
    <w:uiPriority w:val="9"/>
    <w:rsid w:val="001377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77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77F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377F2"/>
    <w:pPr>
      <w:spacing w:before="100" w:beforeAutospacing="1" w:after="100" w:afterAutospacing="1"/>
    </w:pPr>
    <w:rPr>
      <w:rFonts w:ascii="Times New Roman" w:eastAsia="Times New Roman" w:hAnsi="Times New Roman"/>
      <w:sz w:val="24"/>
      <w:szCs w:val="24"/>
      <w:lang w:eastAsia="zh-CN"/>
    </w:rPr>
  </w:style>
  <w:style w:type="character" w:customStyle="1" w:styleId="s1">
    <w:name w:val="s1"/>
    <w:basedOn w:val="DefaultParagraphFont"/>
    <w:rsid w:val="001377F2"/>
  </w:style>
  <w:style w:type="character" w:styleId="Emphasis">
    <w:name w:val="Emphasis"/>
    <w:basedOn w:val="DefaultParagraphFont"/>
    <w:uiPriority w:val="20"/>
    <w:qFormat/>
    <w:rsid w:val="001377F2"/>
    <w:rPr>
      <w:i/>
      <w:iCs/>
    </w:rPr>
  </w:style>
  <w:style w:type="character" w:customStyle="1" w:styleId="authorname">
    <w:name w:val="authorname"/>
    <w:basedOn w:val="DefaultParagraphFont"/>
    <w:rsid w:val="001377F2"/>
  </w:style>
  <w:style w:type="character" w:customStyle="1" w:styleId="separator">
    <w:name w:val="separator"/>
    <w:basedOn w:val="DefaultParagraphFont"/>
    <w:rsid w:val="001377F2"/>
  </w:style>
  <w:style w:type="character" w:customStyle="1" w:styleId="Date1">
    <w:name w:val="Date1"/>
    <w:basedOn w:val="DefaultParagraphFont"/>
    <w:rsid w:val="001377F2"/>
  </w:style>
  <w:style w:type="character" w:customStyle="1" w:styleId="arttitle">
    <w:name w:val="art_title"/>
    <w:basedOn w:val="DefaultParagraphFont"/>
    <w:rsid w:val="001377F2"/>
  </w:style>
  <w:style w:type="character" w:customStyle="1" w:styleId="serialtitle">
    <w:name w:val="serial_title"/>
    <w:basedOn w:val="DefaultParagraphFont"/>
    <w:rsid w:val="001377F2"/>
  </w:style>
  <w:style w:type="character" w:customStyle="1" w:styleId="volumeissue">
    <w:name w:val="volume_issue"/>
    <w:basedOn w:val="DefaultParagraphFont"/>
    <w:rsid w:val="001377F2"/>
  </w:style>
  <w:style w:type="character" w:customStyle="1" w:styleId="pagerange">
    <w:name w:val="page_range"/>
    <w:basedOn w:val="DefaultParagraphFont"/>
    <w:rsid w:val="001377F2"/>
  </w:style>
  <w:style w:type="character" w:customStyle="1" w:styleId="person">
    <w:name w:val="person"/>
    <w:basedOn w:val="DefaultParagraphFont"/>
    <w:rsid w:val="001377F2"/>
  </w:style>
  <w:style w:type="character" w:customStyle="1" w:styleId="idnumber">
    <w:name w:val="id_number"/>
    <w:basedOn w:val="DefaultParagraphFont"/>
    <w:rsid w:val="001377F2"/>
  </w:style>
  <w:style w:type="paragraph" w:customStyle="1" w:styleId="pf0">
    <w:name w:val="pf0"/>
    <w:basedOn w:val="Normal"/>
    <w:rsid w:val="001377F2"/>
    <w:pPr>
      <w:spacing w:before="100" w:beforeAutospacing="1" w:after="100" w:afterAutospacing="1"/>
    </w:pPr>
    <w:rPr>
      <w:rFonts w:ascii="Times New Roman" w:eastAsia="Times New Roman" w:hAnsi="Times New Roman"/>
      <w:sz w:val="24"/>
      <w:szCs w:val="24"/>
      <w:lang w:eastAsia="zh-CN"/>
    </w:rPr>
  </w:style>
  <w:style w:type="character" w:customStyle="1" w:styleId="cf01">
    <w:name w:val="cf01"/>
    <w:basedOn w:val="DefaultParagraphFont"/>
    <w:rsid w:val="001377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1613">
      <w:bodyDiv w:val="1"/>
      <w:marLeft w:val="0"/>
      <w:marRight w:val="0"/>
      <w:marTop w:val="0"/>
      <w:marBottom w:val="0"/>
      <w:divBdr>
        <w:top w:val="none" w:sz="0" w:space="0" w:color="auto"/>
        <w:left w:val="none" w:sz="0" w:space="0" w:color="auto"/>
        <w:bottom w:val="none" w:sz="0" w:space="0" w:color="auto"/>
        <w:right w:val="none" w:sz="0" w:space="0" w:color="auto"/>
      </w:divBdr>
    </w:div>
    <w:div w:id="1001003201">
      <w:bodyDiv w:val="1"/>
      <w:marLeft w:val="0"/>
      <w:marRight w:val="0"/>
      <w:marTop w:val="0"/>
      <w:marBottom w:val="0"/>
      <w:divBdr>
        <w:top w:val="none" w:sz="0" w:space="0" w:color="auto"/>
        <w:left w:val="none" w:sz="0" w:space="0" w:color="auto"/>
        <w:bottom w:val="none" w:sz="0" w:space="0" w:color="auto"/>
        <w:right w:val="none" w:sz="0" w:space="0" w:color="auto"/>
      </w:divBdr>
    </w:div>
    <w:div w:id="1118253454">
      <w:bodyDiv w:val="1"/>
      <w:marLeft w:val="0"/>
      <w:marRight w:val="0"/>
      <w:marTop w:val="0"/>
      <w:marBottom w:val="0"/>
      <w:divBdr>
        <w:top w:val="none" w:sz="0" w:space="0" w:color="auto"/>
        <w:left w:val="none" w:sz="0" w:space="0" w:color="auto"/>
        <w:bottom w:val="none" w:sz="0" w:space="0" w:color="auto"/>
        <w:right w:val="none" w:sz="0" w:space="0" w:color="auto"/>
      </w:divBdr>
    </w:div>
    <w:div w:id="1170751982">
      <w:bodyDiv w:val="1"/>
      <w:marLeft w:val="0"/>
      <w:marRight w:val="0"/>
      <w:marTop w:val="0"/>
      <w:marBottom w:val="0"/>
      <w:divBdr>
        <w:top w:val="none" w:sz="0" w:space="0" w:color="auto"/>
        <w:left w:val="none" w:sz="0" w:space="0" w:color="auto"/>
        <w:bottom w:val="none" w:sz="0" w:space="0" w:color="auto"/>
        <w:right w:val="none" w:sz="0" w:space="0" w:color="auto"/>
      </w:divBdr>
    </w:div>
    <w:div w:id="1573852015">
      <w:bodyDiv w:val="1"/>
      <w:marLeft w:val="0"/>
      <w:marRight w:val="0"/>
      <w:marTop w:val="0"/>
      <w:marBottom w:val="0"/>
      <w:divBdr>
        <w:top w:val="none" w:sz="0" w:space="0" w:color="auto"/>
        <w:left w:val="none" w:sz="0" w:space="0" w:color="auto"/>
        <w:bottom w:val="none" w:sz="0" w:space="0" w:color="auto"/>
        <w:right w:val="none" w:sz="0" w:space="0" w:color="auto"/>
      </w:divBdr>
    </w:div>
    <w:div w:id="1866602591">
      <w:bodyDiv w:val="1"/>
      <w:marLeft w:val="0"/>
      <w:marRight w:val="0"/>
      <w:marTop w:val="0"/>
      <w:marBottom w:val="0"/>
      <w:divBdr>
        <w:top w:val="none" w:sz="0" w:space="0" w:color="auto"/>
        <w:left w:val="none" w:sz="0" w:space="0" w:color="auto"/>
        <w:bottom w:val="none" w:sz="0" w:space="0" w:color="auto"/>
        <w:right w:val="none" w:sz="0" w:space="0" w:color="auto"/>
      </w:divBdr>
    </w:div>
    <w:div w:id="20429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lysafeatschool.org.uk/research/" TargetMode="External"/><Relationship Id="rId13" Type="http://schemas.openxmlformats.org/officeDocument/2006/relationships/hyperlink" Target="https://twitter.com/theSPHSU" TargetMode="External"/><Relationship Id="rId3" Type="http://schemas.openxmlformats.org/officeDocument/2006/relationships/settings" Target="settings.xml"/><Relationship Id="rId7" Type="http://schemas.openxmlformats.org/officeDocument/2006/relationships/hyperlink" Target="https://www.equallysafeatschool.org.uk/" TargetMode="External"/><Relationship Id="rId12" Type="http://schemas.openxmlformats.org/officeDocument/2006/relationships/hyperlink" Target="http://www.gla.ac.uk/sph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gov.scot/learning-directorate/teaching-guidance-for-relationships-sexual-health/" TargetMode="External"/><Relationship Id="rId11" Type="http://schemas.openxmlformats.org/officeDocument/2006/relationships/hyperlink" Target="mailto:Julie.Riddell@glasgow.ac.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1371/journal.pone.0262248" TargetMode="External"/><Relationship Id="rId4" Type="http://schemas.openxmlformats.org/officeDocument/2006/relationships/webSettings" Target="webSettings.xml"/><Relationship Id="rId9" Type="http://schemas.openxmlformats.org/officeDocument/2006/relationships/hyperlink" Target="https://www.equallysafeatschool.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3390</Words>
  <Characters>19327</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Bell</dc:creator>
  <cp:keywords/>
  <dc:description/>
  <cp:lastModifiedBy>Gillian Bell</cp:lastModifiedBy>
  <cp:revision>10</cp:revision>
  <dcterms:created xsi:type="dcterms:W3CDTF">2023-12-01T15:43:00Z</dcterms:created>
  <dcterms:modified xsi:type="dcterms:W3CDTF">2023-12-08T13:37:00Z</dcterms:modified>
</cp:coreProperties>
</file>