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2BC59" w14:textId="300F9358" w:rsidR="00A019E1" w:rsidRPr="00706DC6" w:rsidRDefault="00A019E1" w:rsidP="00A019E1">
      <w:pPr>
        <w:spacing w:line="360" w:lineRule="auto"/>
        <w:jc w:val="both"/>
        <w:rPr>
          <w:rFonts w:ascii="Times New Roman" w:hAnsi="Times New Roman" w:cs="Times New Roman"/>
          <w:b/>
          <w:bCs/>
          <w:sz w:val="32"/>
          <w:szCs w:val="32"/>
        </w:rPr>
      </w:pPr>
      <w:r w:rsidRPr="00706DC6">
        <w:rPr>
          <w:rFonts w:ascii="Times New Roman" w:hAnsi="Times New Roman" w:cs="Times New Roman"/>
          <w:b/>
          <w:bCs/>
          <w:sz w:val="32"/>
          <w:szCs w:val="32"/>
        </w:rPr>
        <w:t>Evaluating the design efficiency of conservation auctions in payment for ecosystem services</w:t>
      </w:r>
    </w:p>
    <w:p w14:paraId="59AEC454" w14:textId="77777777" w:rsidR="00706DC6" w:rsidRDefault="00706DC6" w:rsidP="00706DC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Authors: Mary Nthambi, Martin Dallimer and Nick Hanley </w:t>
      </w:r>
    </w:p>
    <w:p w14:paraId="21D0694B" w14:textId="77777777" w:rsidR="00A019E1" w:rsidRPr="00A019E1" w:rsidRDefault="00A019E1" w:rsidP="00A019E1">
      <w:pPr>
        <w:pStyle w:val="ListParagraph"/>
        <w:numPr>
          <w:ilvl w:val="0"/>
          <w:numId w:val="39"/>
        </w:numPr>
        <w:spacing w:line="360" w:lineRule="auto"/>
        <w:jc w:val="both"/>
        <w:rPr>
          <w:rFonts w:ascii="Times New Roman" w:hAnsi="Times New Roman" w:cs="Times New Roman"/>
          <w:b/>
          <w:bCs/>
          <w:sz w:val="24"/>
          <w:szCs w:val="24"/>
        </w:rPr>
      </w:pPr>
      <w:r w:rsidRPr="00A019E1">
        <w:rPr>
          <w:rFonts w:ascii="Times New Roman" w:hAnsi="Times New Roman" w:cs="Times New Roman"/>
          <w:b/>
          <w:bCs/>
          <w:sz w:val="24"/>
          <w:szCs w:val="24"/>
        </w:rPr>
        <w:t>Introduction</w:t>
      </w:r>
    </w:p>
    <w:p w14:paraId="5364163F" w14:textId="77777777" w:rsidR="00A019E1" w:rsidRPr="00A019E1" w:rsidRDefault="00A019E1" w:rsidP="00A019E1">
      <w:pPr>
        <w:shd w:val="clear" w:color="auto" w:fill="FFFFFF"/>
        <w:spacing w:before="100" w:beforeAutospacing="1" w:after="75" w:line="360" w:lineRule="auto"/>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t>A payment for ecosystem services (PES) market has buyers and suppliers of environmental goods and services. For a successful implementation of an agri-environment scheme, hidden information (e.g. on market, opportunity costs, resources etc) and intentions between these market actors need to be revealed before a conservation contract is selected. This is because PES markets with imperfect information may lead to loss and degradation of environmental services, inefficient payments and budget allocations, and high information rents (</w:t>
      </w:r>
      <w:r w:rsidRPr="00A019E1">
        <w:rPr>
          <w:rFonts w:ascii="Times New Roman" w:hAnsi="Times New Roman" w:cs="Times New Roman"/>
          <w:sz w:val="24"/>
          <w:szCs w:val="24"/>
        </w:rPr>
        <w:t xml:space="preserve">Banerjee </w:t>
      </w:r>
      <w:r w:rsidRPr="00A019E1">
        <w:rPr>
          <w:rFonts w:ascii="Times New Roman" w:hAnsi="Times New Roman" w:cs="Times New Roman"/>
          <w:i/>
          <w:iCs/>
          <w:sz w:val="24"/>
          <w:szCs w:val="24"/>
        </w:rPr>
        <w:t xml:space="preserve">et al. </w:t>
      </w:r>
      <w:r w:rsidRPr="00A019E1">
        <w:rPr>
          <w:rFonts w:ascii="Times New Roman" w:hAnsi="Times New Roman" w:cs="Times New Roman"/>
          <w:sz w:val="24"/>
          <w:szCs w:val="24"/>
        </w:rPr>
        <w:t>2015</w:t>
      </w:r>
      <w:r w:rsidRPr="00A019E1">
        <w:rPr>
          <w:rFonts w:ascii="Times New Roman" w:eastAsia="Times New Roman" w:hAnsi="Times New Roman" w:cs="Times New Roman"/>
          <w:sz w:val="24"/>
          <w:szCs w:val="24"/>
          <w:lang w:eastAsia="en-GB"/>
        </w:rPr>
        <w:t xml:space="preserve">; Deng and Xu, 2015). If landholders fail to reveal their true minimum willingness to accept, the resulting implication is inefficient payment allocation, lowering cost-effectiveness of PES policies (Khalumba </w:t>
      </w:r>
      <w:r w:rsidRPr="00A019E1">
        <w:rPr>
          <w:rFonts w:ascii="Times New Roman" w:eastAsia="Times New Roman" w:hAnsi="Times New Roman" w:cs="Times New Roman"/>
          <w:i/>
          <w:iCs/>
          <w:sz w:val="24"/>
          <w:szCs w:val="24"/>
          <w:lang w:eastAsia="en-GB"/>
        </w:rPr>
        <w:t xml:space="preserve">et al. </w:t>
      </w:r>
      <w:r w:rsidRPr="00A019E1">
        <w:rPr>
          <w:rFonts w:ascii="Times New Roman" w:eastAsia="Times New Roman" w:hAnsi="Times New Roman" w:cs="Times New Roman"/>
          <w:sz w:val="24"/>
          <w:szCs w:val="24"/>
          <w:lang w:eastAsia="en-GB"/>
        </w:rPr>
        <w:t xml:space="preserve">2014). Conservation auctions attempt to harness information from PES market players which is useful in revealing true opportunity costs and minimum willingness to accept, relying on competition in the auction to reduce information rents (Stoneham </w:t>
      </w:r>
      <w:r w:rsidRPr="00A019E1">
        <w:rPr>
          <w:rFonts w:ascii="Times New Roman" w:eastAsia="Times New Roman" w:hAnsi="Times New Roman" w:cs="Times New Roman"/>
          <w:i/>
          <w:iCs/>
          <w:sz w:val="24"/>
          <w:szCs w:val="24"/>
          <w:lang w:eastAsia="en-GB"/>
        </w:rPr>
        <w:t xml:space="preserve">et al. </w:t>
      </w:r>
      <w:r w:rsidRPr="00A019E1">
        <w:rPr>
          <w:rFonts w:ascii="Times New Roman" w:eastAsia="Times New Roman" w:hAnsi="Times New Roman" w:cs="Times New Roman"/>
          <w:sz w:val="24"/>
          <w:szCs w:val="24"/>
          <w:lang w:eastAsia="en-GB"/>
        </w:rPr>
        <w:t xml:space="preserve">2003; Schilizzi and Latacz-Lohmann, 2007; Deng and Xu, 2015). Conservation auctions allocate resources to environmental protection against problems arising from agricultural practices such as watershed pollution (e.g. eutrophication arising from Nitrogen, phosphorus etc) (Cason and Gangadharan, 2004; Boxall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2013), soil erosion (Leimona and Carrasco, 2017) and deforestation (Jindal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2013). They are also used in allocating resources for stormwater detention (Thurston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2010), reducing greenhouse gas emissions (Pant, 2014), creating new habitats (Khalumba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2014) and conserving fish stocks (Schilizzi and Latacz-Lohmann, 2012). </w:t>
      </w:r>
    </w:p>
    <w:p w14:paraId="41B64AF9" w14:textId="77777777" w:rsidR="00A019E1" w:rsidRPr="00A019E1" w:rsidRDefault="00A019E1" w:rsidP="00A019E1">
      <w:pPr>
        <w:shd w:val="clear" w:color="auto" w:fill="FFFFFF"/>
        <w:spacing w:before="100" w:beforeAutospacing="1" w:after="75" w:line="360" w:lineRule="auto"/>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t xml:space="preserve">A conservation auction entails sellers participating in a bidding process set up by buyer (s) of environmental goods or services in return for a conservation contract at either the lowest bid price (Ferraro, 2008) or an offer equal to the value of individuals’ bids (Lan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2021) or based on the highest cost-benefit ratios (</w:t>
      </w:r>
      <w:r w:rsidRPr="00A019E1">
        <w:rPr>
          <w:rFonts w:ascii="Times New Roman" w:hAnsi="Times New Roman" w:cs="Times New Roman"/>
          <w:sz w:val="24"/>
          <w:szCs w:val="24"/>
        </w:rPr>
        <w:t xml:space="preserve">Fooks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2015)</w:t>
      </w:r>
      <w:r w:rsidRPr="00A019E1">
        <w:rPr>
          <w:rFonts w:ascii="Times New Roman" w:eastAsia="Times New Roman" w:hAnsi="Times New Roman" w:cs="Times New Roman"/>
          <w:sz w:val="24"/>
          <w:szCs w:val="24"/>
          <w:lang w:eastAsia="en-GB"/>
        </w:rPr>
        <w:t xml:space="preserve">. Its implementation helps to expose the strategic behaviour which occurs when sellers get their buyers to reveal their willingness to pay without telling the conservation agency their true opportunity costs (Brown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2011). Beyond the market actors, conservation auctions reveal information about the resource (i.e. land, irrigation water, fish etc), particularly its worth and value measured based on its </w:t>
      </w:r>
      <w:r w:rsidRPr="00A019E1">
        <w:rPr>
          <w:rFonts w:ascii="Times New Roman" w:eastAsia="Times New Roman" w:hAnsi="Times New Roman" w:cs="Times New Roman"/>
          <w:sz w:val="24"/>
          <w:szCs w:val="24"/>
          <w:lang w:eastAsia="en-GB"/>
        </w:rPr>
        <w:lastRenderedPageBreak/>
        <w:t xml:space="preserve">description in the conservation contract without which it loses its worth in alternative uses (Santos </w:t>
      </w:r>
      <w:r w:rsidRPr="00A019E1">
        <w:rPr>
          <w:rFonts w:ascii="Times New Roman" w:eastAsia="Times New Roman" w:hAnsi="Times New Roman" w:cs="Times New Roman"/>
          <w:i/>
          <w:iCs/>
          <w:sz w:val="24"/>
          <w:szCs w:val="24"/>
          <w:lang w:eastAsia="en-GB"/>
        </w:rPr>
        <w:t xml:space="preserve">et al. </w:t>
      </w:r>
      <w:r w:rsidRPr="00A019E1">
        <w:rPr>
          <w:rFonts w:ascii="Times New Roman" w:eastAsia="Times New Roman" w:hAnsi="Times New Roman" w:cs="Times New Roman"/>
          <w:sz w:val="24"/>
          <w:szCs w:val="24"/>
          <w:lang w:eastAsia="en-GB"/>
        </w:rPr>
        <w:t xml:space="preserve">2021). Different features of the auction design, such as the number of rounds, will affect the transactions costs to participants and thus the degree of participation (Rolfe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2009). </w:t>
      </w:r>
    </w:p>
    <w:p w14:paraId="0967155E" w14:textId="77777777" w:rsidR="00A019E1" w:rsidRPr="00A019E1" w:rsidRDefault="00A019E1" w:rsidP="00A019E1">
      <w:pPr>
        <w:shd w:val="clear" w:color="auto" w:fill="FFFFFF"/>
        <w:spacing w:before="100" w:beforeAutospacing="1" w:after="75" w:line="360" w:lineRule="auto"/>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t xml:space="preserve">Like any other PES mechanism, conservation auctions aim at delivering biodiversity cost-effectively. However, its design and implementation are typified by several limitations. Sellers as potential owners of the resource expect heterogeneous private benefits across landscapes, and thus generating variable levels of competition during bidding leading to increased rent-seeking particularly among those with higher private benefits (Conte and Griffin, 2019). If rent-seeking becomes persistent, then the resulting payment allocations become inefficient (Banerjee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2015). The asset specificity of enrolled land may lead to high contracting costs especially when conservation agencies become opportunistic after sellers sign contracts (Santos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2021). After a landholder signs a contract to make certain investments in a parcel of land, they may request to be safeguarded against the risk of agency opportunism through ex-ante payments particularly in developing countries where individuals may be unable to meet initial compliance costs (Santos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2021). Such ex-ante payments may reduce the incentive of sellers to comply with contractual obligations leading to high monitoring and enforcement costs for long-term contracts (Santos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2021). In the absence of a screening contract mechanism, the use of a especially when property rights are assigned to landholders with private information that may be useful to optimise each parcel leading to reduced efficiency resulting from the extraction of informational rents (Arnold </w:t>
      </w:r>
      <w:r w:rsidRPr="00A019E1">
        <w:rPr>
          <w:rFonts w:ascii="Times New Roman" w:eastAsia="Times New Roman" w:hAnsi="Times New Roman" w:cs="Times New Roman"/>
          <w:i/>
          <w:iCs/>
          <w:sz w:val="24"/>
          <w:szCs w:val="24"/>
          <w:lang w:eastAsia="en-GB"/>
        </w:rPr>
        <w:t xml:space="preserve">et al. </w:t>
      </w:r>
      <w:r w:rsidRPr="00A019E1">
        <w:rPr>
          <w:rFonts w:ascii="Times New Roman" w:eastAsia="Times New Roman" w:hAnsi="Times New Roman" w:cs="Times New Roman"/>
          <w:sz w:val="24"/>
          <w:szCs w:val="24"/>
          <w:lang w:eastAsia="en-GB"/>
        </w:rPr>
        <w:t xml:space="preserve">2013). Higher transaction costs from multiple bidding may lead to further deterioration of cost-effectiveness resulting from participants’ learning and adaptation effects between bidding periods (Rolfe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2009; Santos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2021). </w:t>
      </w:r>
    </w:p>
    <w:p w14:paraId="52AB61A2" w14:textId="77777777" w:rsidR="00A019E1" w:rsidRPr="00A019E1" w:rsidRDefault="00A019E1" w:rsidP="00A019E1">
      <w:pPr>
        <w:shd w:val="clear" w:color="auto" w:fill="FFFFFF"/>
        <w:spacing w:before="100" w:beforeAutospacing="1" w:after="75" w:line="360" w:lineRule="auto"/>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t>From the above analysis, two major concerns emerge from the design and implementation of conservation auctions: (i) information asymmetry and (ii) opportunistic behaviour. However, it is worth noting that, perfect information has the best performance in an opportunity cost offer scheme, higher participation and lower information rents but it is difficult to implement in reality thus the need for improved information revelation for better contract performance</w:t>
      </w:r>
      <w:r w:rsidRPr="00A019E1" w:rsidDel="004B5CBB">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sz w:val="24"/>
          <w:szCs w:val="24"/>
          <w:lang w:eastAsia="en-GB"/>
        </w:rPr>
        <w:t xml:space="preserve">(Deng and Xu, 2015). It is also worth noting that lower bids are not always a sign of a higher willingness to accept the conservation contracts, but they can be an indicator of better compliance (Leimona and Carrasco, 2017). Further, even with asset specificity and information </w:t>
      </w:r>
      <w:r w:rsidRPr="00A019E1">
        <w:rPr>
          <w:rFonts w:ascii="Times New Roman" w:eastAsia="Times New Roman" w:hAnsi="Times New Roman" w:cs="Times New Roman"/>
          <w:sz w:val="24"/>
          <w:szCs w:val="24"/>
          <w:lang w:eastAsia="en-GB"/>
        </w:rPr>
        <w:lastRenderedPageBreak/>
        <w:t xml:space="preserve">asymmetry, the cost-effectiveness of conservation auctions is achievable if asset liquidity and time preferences constraints are resolved through a trade-off between increased contract costs for stronger bilateral relationships (Santos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2021). </w:t>
      </w:r>
    </w:p>
    <w:p w14:paraId="13CD5D52" w14:textId="77777777" w:rsidR="00A019E1" w:rsidRPr="00A019E1" w:rsidRDefault="00A019E1" w:rsidP="00A019E1">
      <w:pPr>
        <w:shd w:val="clear" w:color="auto" w:fill="FFFFFF"/>
        <w:spacing w:before="100" w:beforeAutospacing="1" w:after="75" w:line="360" w:lineRule="auto"/>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t xml:space="preserve">Existing literature shows a focus on experimental conservation auctions designs in laboratories before implementing them in the real world. So far there are more laboratory experiment conservation auction designs (e.g. Banerjee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2015; Boxall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2017; Otto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2021) compared to field experiments (e.g. Rolfe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2017; Hellerstein, 2017). One of the reasons could be laboratory experiments are controlled and as such, they provide adequate incentive to reveal true opportunity costs while field-experiments reveal additional significant transaction costs (Conte and Griffin, 2017). An efficient conservation auction design needs to account for procurement costs and environmental benefits of the private landholders (Conte and Griffin, 2019). Further, the efficiency and cost-effectiveness of a conservation auction are also a function of sellers’ willingness to enrol into the scheme, implement the management practices and set their price through bidding (Rolfe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2018). It is, therefore, important to synthesise existing literature with a central focus on further understanding the design efficiency of conservation auctions. Also important is the use of varying information during bidding, the pricing rule used to determine payment in the contracts, and the individual-specific and market design factors underlying bidder’s participation choices. We synthesise previous literature that has used data from laboratory and real-world experiments to meet the following objectives:</w:t>
      </w:r>
    </w:p>
    <w:p w14:paraId="4881C19E" w14:textId="77777777" w:rsidR="00A019E1" w:rsidRPr="00A019E1" w:rsidRDefault="00A019E1" w:rsidP="00A019E1">
      <w:pPr>
        <w:pStyle w:val="ListParagraph"/>
        <w:numPr>
          <w:ilvl w:val="0"/>
          <w:numId w:val="37"/>
        </w:numPr>
        <w:shd w:val="clear" w:color="auto" w:fill="FFFFFF"/>
        <w:spacing w:before="100" w:beforeAutospacing="1" w:after="75" w:line="360" w:lineRule="auto"/>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t>evaluate how different information treatments and feedback mechanisms impact auction outcomes,</w:t>
      </w:r>
    </w:p>
    <w:p w14:paraId="34EDB865" w14:textId="77777777" w:rsidR="00A019E1" w:rsidRPr="00A019E1" w:rsidRDefault="00A019E1" w:rsidP="00A019E1">
      <w:pPr>
        <w:pStyle w:val="ListParagraph"/>
        <w:numPr>
          <w:ilvl w:val="0"/>
          <w:numId w:val="37"/>
        </w:numPr>
        <w:shd w:val="clear" w:color="auto" w:fill="FFFFFF"/>
        <w:spacing w:before="100" w:beforeAutospacing="1" w:after="75" w:line="360" w:lineRule="auto"/>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t xml:space="preserve">assess the cost-effectiveness of different pricing auction rules in a single and multiple-round design formats, </w:t>
      </w:r>
    </w:p>
    <w:p w14:paraId="1EC7C70C" w14:textId="77777777" w:rsidR="00A019E1" w:rsidRPr="00A019E1" w:rsidRDefault="00A019E1" w:rsidP="00A019E1">
      <w:pPr>
        <w:pStyle w:val="ListParagraph"/>
        <w:numPr>
          <w:ilvl w:val="0"/>
          <w:numId w:val="37"/>
        </w:numPr>
        <w:shd w:val="clear" w:color="auto" w:fill="FFFFFF"/>
        <w:spacing w:before="100" w:beforeAutospacing="1" w:after="75" w:line="360" w:lineRule="auto"/>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t xml:space="preserve">understand the different factors influencing bidding behaviour, and  </w:t>
      </w:r>
    </w:p>
    <w:p w14:paraId="712BCE5B" w14:textId="77777777" w:rsidR="00A019E1" w:rsidRPr="00A019E1" w:rsidRDefault="00A019E1" w:rsidP="00A019E1">
      <w:pPr>
        <w:pStyle w:val="ListParagraph"/>
        <w:numPr>
          <w:ilvl w:val="0"/>
          <w:numId w:val="37"/>
        </w:numPr>
        <w:shd w:val="clear" w:color="auto" w:fill="FFFFFF"/>
        <w:spacing w:before="100" w:beforeAutospacing="1" w:after="75" w:line="360" w:lineRule="auto"/>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t>identify the research gaps emerging from existing literature</w:t>
      </w:r>
    </w:p>
    <w:p w14:paraId="38985F56" w14:textId="77777777" w:rsidR="00A019E1" w:rsidRPr="00A019E1" w:rsidRDefault="00A019E1" w:rsidP="00A019E1">
      <w:pPr>
        <w:shd w:val="clear" w:color="auto" w:fill="FFFFFF"/>
        <w:spacing w:before="100" w:beforeAutospacing="1" w:after="75" w:line="360" w:lineRule="auto"/>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t xml:space="preserve">To fulfil the above objectives, we systematically synthesise peer-reviewed articles using a scoping review (Arksey and O’Malley, 2005). A previous review sought to understand the reasons behind the low participation in conservation auctions leading to loss of efficiency and cost-effectiveness (Rolfe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2018). We build on this, and in our review, provide a detailed summary of existing literature while focusing on answering the following research questions.</w:t>
      </w:r>
    </w:p>
    <w:p w14:paraId="488E3DD5" w14:textId="77777777" w:rsidR="00A019E1" w:rsidRPr="00A019E1" w:rsidRDefault="00A019E1" w:rsidP="00A019E1">
      <w:pPr>
        <w:pStyle w:val="ListParagraph"/>
        <w:numPr>
          <w:ilvl w:val="0"/>
          <w:numId w:val="8"/>
        </w:num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lastRenderedPageBreak/>
        <w:t xml:space="preserve">How do different auction designs treat communication and feedback during bidding process and how does communication or no communication treatment affect bid outcomes? </w:t>
      </w:r>
    </w:p>
    <w:p w14:paraId="13E6FB2F" w14:textId="77777777" w:rsidR="00A019E1" w:rsidRPr="00A019E1" w:rsidRDefault="00A019E1" w:rsidP="00A019E1">
      <w:pPr>
        <w:pStyle w:val="ListParagraph"/>
        <w:numPr>
          <w:ilvl w:val="0"/>
          <w:numId w:val="8"/>
        </w:num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How does the performance of different pricing rules compare under single or repeated bidding?</w:t>
      </w:r>
    </w:p>
    <w:p w14:paraId="1F3EF5A5" w14:textId="77777777" w:rsidR="00A019E1" w:rsidRPr="00A019E1" w:rsidRDefault="00A019E1" w:rsidP="00A019E1">
      <w:pPr>
        <w:pStyle w:val="ListParagraph"/>
        <w:numPr>
          <w:ilvl w:val="0"/>
          <w:numId w:val="8"/>
        </w:num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What factors influence bidders’ participation choices? and,</w:t>
      </w:r>
    </w:p>
    <w:p w14:paraId="4D627DED" w14:textId="77777777" w:rsidR="00A019E1" w:rsidRPr="00A019E1" w:rsidRDefault="00A019E1" w:rsidP="00A019E1">
      <w:pPr>
        <w:pStyle w:val="ListParagraph"/>
        <w:numPr>
          <w:ilvl w:val="0"/>
          <w:numId w:val="8"/>
        </w:num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What are the research gaps that emerge from previous literature?</w:t>
      </w:r>
    </w:p>
    <w:p w14:paraId="5685D5C5" w14:textId="77777777" w:rsidR="00A019E1" w:rsidRPr="00A019E1" w:rsidRDefault="00A019E1" w:rsidP="00A019E1">
      <w:pPr>
        <w:pStyle w:val="ListParagraph"/>
        <w:spacing w:line="360" w:lineRule="auto"/>
        <w:jc w:val="both"/>
        <w:rPr>
          <w:rFonts w:ascii="Times New Roman" w:hAnsi="Times New Roman" w:cs="Times New Roman"/>
          <w:sz w:val="24"/>
          <w:szCs w:val="24"/>
        </w:rPr>
      </w:pPr>
    </w:p>
    <w:p w14:paraId="6766DD40" w14:textId="77777777" w:rsidR="00A019E1" w:rsidRPr="00A019E1" w:rsidRDefault="00A019E1" w:rsidP="00A019E1">
      <w:pPr>
        <w:pStyle w:val="ListParagraph"/>
        <w:numPr>
          <w:ilvl w:val="0"/>
          <w:numId w:val="38"/>
        </w:numPr>
        <w:spacing w:line="360" w:lineRule="auto"/>
        <w:jc w:val="both"/>
        <w:rPr>
          <w:rFonts w:ascii="Times New Roman" w:hAnsi="Times New Roman" w:cs="Times New Roman"/>
          <w:sz w:val="24"/>
          <w:szCs w:val="24"/>
        </w:rPr>
      </w:pPr>
      <w:r w:rsidRPr="00A019E1">
        <w:rPr>
          <w:rFonts w:ascii="Times New Roman" w:hAnsi="Times New Roman" w:cs="Times New Roman"/>
          <w:b/>
          <w:bCs/>
          <w:sz w:val="24"/>
          <w:szCs w:val="24"/>
        </w:rPr>
        <w:t xml:space="preserve">Search strategy </w:t>
      </w:r>
    </w:p>
    <w:p w14:paraId="7042D5A9" w14:textId="77777777" w:rsidR="00A019E1" w:rsidRPr="00A019E1" w:rsidRDefault="00A019E1" w:rsidP="00A019E1">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Conservation auctions have been used for several reasons use in previous time to allocate scarce resources, but we limit our review to its application in allocating resources in agri-environment schemes (see </w:t>
      </w:r>
      <w:r w:rsidRPr="00A019E1">
        <w:rPr>
          <w:rFonts w:ascii="Times New Roman" w:eastAsia="Times New Roman" w:hAnsi="Times New Roman" w:cs="Times New Roman"/>
          <w:sz w:val="24"/>
          <w:szCs w:val="24"/>
          <w:lang w:eastAsia="en-GB"/>
        </w:rPr>
        <w:t xml:space="preserve">Cason and Gangadharan, 2005). </w:t>
      </w:r>
      <w:r w:rsidRPr="00A019E1">
        <w:rPr>
          <w:rFonts w:ascii="Times New Roman" w:hAnsi="Times New Roman" w:cs="Times New Roman"/>
          <w:sz w:val="24"/>
          <w:szCs w:val="24"/>
        </w:rPr>
        <w:t>Our keywords and alternative terms for conservation auctions were derived from existing studies that have implemented conservation auctions e.g. Cason and Gangadharan (2004), Ferraro (2007), Pant (2014), Conte and Griffin (2019), Otto et al</w:t>
      </w:r>
      <w:r w:rsidRPr="00A019E1">
        <w:rPr>
          <w:rFonts w:ascii="Times New Roman" w:hAnsi="Times New Roman" w:cs="Times New Roman"/>
          <w:i/>
          <w:iCs/>
          <w:sz w:val="24"/>
          <w:szCs w:val="24"/>
        </w:rPr>
        <w:t>.</w:t>
      </w:r>
      <w:r w:rsidRPr="00A019E1">
        <w:rPr>
          <w:rFonts w:ascii="Times New Roman" w:hAnsi="Times New Roman" w:cs="Times New Roman"/>
          <w:sz w:val="24"/>
          <w:szCs w:val="24"/>
        </w:rPr>
        <w:t xml:space="preserve"> (2021) and Santos et al. (2021). We defined some terminologies that include “conservation auctions” or “reverse auctions”, “bidding” and “contract”. To further identify and synthesise the targeted studies we also defined “buyers/auctioneers” and “bidders/sellers”. We provide a summary of these definitions (see Table 1) without considering any geographical scope and time.  </w:t>
      </w:r>
    </w:p>
    <w:p w14:paraId="4F0BA66F" w14:textId="77777777" w:rsidR="00A019E1" w:rsidRPr="00A019E1" w:rsidRDefault="00A019E1" w:rsidP="00A019E1">
      <w:pPr>
        <w:spacing w:line="360" w:lineRule="auto"/>
        <w:jc w:val="both"/>
        <w:rPr>
          <w:rFonts w:ascii="Times New Roman" w:hAnsi="Times New Roman" w:cs="Times New Roman"/>
          <w:sz w:val="24"/>
          <w:szCs w:val="24"/>
        </w:rPr>
      </w:pPr>
    </w:p>
    <w:p w14:paraId="0CFCDBDA" w14:textId="77777777" w:rsidR="00A019E1" w:rsidRPr="00A019E1" w:rsidRDefault="00A019E1" w:rsidP="00A019E1">
      <w:pPr>
        <w:spacing w:line="360" w:lineRule="auto"/>
        <w:jc w:val="both"/>
        <w:rPr>
          <w:rFonts w:ascii="Times New Roman" w:hAnsi="Times New Roman" w:cs="Times New Roman"/>
          <w:sz w:val="24"/>
          <w:szCs w:val="24"/>
        </w:rPr>
      </w:pPr>
      <w:r w:rsidRPr="00A019E1">
        <w:rPr>
          <w:rFonts w:ascii="Times New Roman" w:hAnsi="Times New Roman" w:cs="Times New Roman"/>
          <w:b/>
          <w:bCs/>
          <w:sz w:val="24"/>
          <w:szCs w:val="24"/>
        </w:rPr>
        <w:t xml:space="preserve">Table 1: Definition of key terms in payment for ecosystem services (PES) conservation auctions </w:t>
      </w:r>
    </w:p>
    <w:tbl>
      <w:tblPr>
        <w:tblStyle w:val="TableGrid"/>
        <w:tblW w:w="9884"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6"/>
        <w:gridCol w:w="4923"/>
        <w:gridCol w:w="2905"/>
      </w:tblGrid>
      <w:tr w:rsidR="00A019E1" w:rsidRPr="00A019E1" w14:paraId="5692CC12" w14:textId="77777777" w:rsidTr="003050B8">
        <w:trPr>
          <w:trHeight w:val="401"/>
        </w:trPr>
        <w:tc>
          <w:tcPr>
            <w:tcW w:w="1990" w:type="dxa"/>
            <w:tcBorders>
              <w:top w:val="single" w:sz="4" w:space="0" w:color="auto"/>
              <w:bottom w:val="single" w:sz="4" w:space="0" w:color="auto"/>
            </w:tcBorders>
          </w:tcPr>
          <w:p w14:paraId="5B8AE068" w14:textId="77777777" w:rsidR="00A019E1" w:rsidRPr="00A019E1" w:rsidRDefault="00A019E1" w:rsidP="003050B8">
            <w:pPr>
              <w:spacing w:line="360" w:lineRule="auto"/>
              <w:jc w:val="both"/>
              <w:rPr>
                <w:rFonts w:ascii="Times New Roman" w:hAnsi="Times New Roman" w:cs="Times New Roman"/>
                <w:b/>
                <w:bCs/>
                <w:sz w:val="24"/>
                <w:szCs w:val="24"/>
              </w:rPr>
            </w:pPr>
            <w:r w:rsidRPr="00A019E1">
              <w:rPr>
                <w:rFonts w:ascii="Times New Roman" w:hAnsi="Times New Roman" w:cs="Times New Roman"/>
                <w:b/>
                <w:bCs/>
                <w:sz w:val="24"/>
                <w:szCs w:val="24"/>
              </w:rPr>
              <w:t>Term</w:t>
            </w:r>
          </w:p>
        </w:tc>
        <w:tc>
          <w:tcPr>
            <w:tcW w:w="4962" w:type="dxa"/>
            <w:tcBorders>
              <w:top w:val="single" w:sz="4" w:space="0" w:color="auto"/>
              <w:bottom w:val="single" w:sz="4" w:space="0" w:color="auto"/>
            </w:tcBorders>
          </w:tcPr>
          <w:p w14:paraId="79CFE80B" w14:textId="77777777" w:rsidR="00A019E1" w:rsidRPr="00A019E1" w:rsidRDefault="00A019E1" w:rsidP="003050B8">
            <w:pPr>
              <w:spacing w:line="360" w:lineRule="auto"/>
              <w:jc w:val="center"/>
              <w:rPr>
                <w:rFonts w:ascii="Times New Roman" w:hAnsi="Times New Roman" w:cs="Times New Roman"/>
                <w:b/>
                <w:bCs/>
                <w:sz w:val="24"/>
                <w:szCs w:val="24"/>
              </w:rPr>
            </w:pPr>
            <w:r w:rsidRPr="00A019E1">
              <w:rPr>
                <w:rFonts w:ascii="Times New Roman" w:hAnsi="Times New Roman" w:cs="Times New Roman"/>
                <w:b/>
                <w:bCs/>
                <w:sz w:val="24"/>
                <w:szCs w:val="24"/>
              </w:rPr>
              <w:t>Definition</w:t>
            </w:r>
          </w:p>
        </w:tc>
        <w:tc>
          <w:tcPr>
            <w:tcW w:w="2932" w:type="dxa"/>
            <w:tcBorders>
              <w:top w:val="single" w:sz="4" w:space="0" w:color="auto"/>
              <w:bottom w:val="single" w:sz="4" w:space="0" w:color="auto"/>
            </w:tcBorders>
          </w:tcPr>
          <w:p w14:paraId="3805EE46" w14:textId="77777777" w:rsidR="00A019E1" w:rsidRPr="00A019E1" w:rsidRDefault="00A019E1" w:rsidP="003050B8">
            <w:pPr>
              <w:spacing w:line="360" w:lineRule="auto"/>
              <w:jc w:val="center"/>
              <w:rPr>
                <w:rFonts w:ascii="Times New Roman" w:hAnsi="Times New Roman" w:cs="Times New Roman"/>
                <w:b/>
                <w:bCs/>
                <w:sz w:val="24"/>
                <w:szCs w:val="24"/>
              </w:rPr>
            </w:pPr>
            <w:r w:rsidRPr="00A019E1">
              <w:rPr>
                <w:rFonts w:ascii="Times New Roman" w:hAnsi="Times New Roman" w:cs="Times New Roman"/>
                <w:b/>
                <w:bCs/>
                <w:sz w:val="24"/>
                <w:szCs w:val="24"/>
              </w:rPr>
              <w:t>Source (s)</w:t>
            </w:r>
          </w:p>
        </w:tc>
      </w:tr>
      <w:tr w:rsidR="00A019E1" w:rsidRPr="00AB2A67" w14:paraId="37D73120" w14:textId="77777777" w:rsidTr="003050B8">
        <w:trPr>
          <w:trHeight w:val="441"/>
        </w:trPr>
        <w:tc>
          <w:tcPr>
            <w:tcW w:w="1990" w:type="dxa"/>
            <w:tcBorders>
              <w:top w:val="single" w:sz="4" w:space="0" w:color="auto"/>
              <w:bottom w:val="single" w:sz="4" w:space="0" w:color="auto"/>
            </w:tcBorders>
          </w:tcPr>
          <w:p w14:paraId="58ABA3CE" w14:textId="77777777" w:rsidR="00A019E1" w:rsidRPr="00A019E1" w:rsidRDefault="00A019E1" w:rsidP="003050B8">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Reverse auction</w:t>
            </w:r>
          </w:p>
        </w:tc>
        <w:tc>
          <w:tcPr>
            <w:tcW w:w="4962" w:type="dxa"/>
            <w:tcBorders>
              <w:top w:val="single" w:sz="4" w:space="0" w:color="auto"/>
              <w:bottom w:val="single" w:sz="4" w:space="0" w:color="auto"/>
            </w:tcBorders>
          </w:tcPr>
          <w:p w14:paraId="4BB80ACC" w14:textId="77777777" w:rsidR="00A019E1" w:rsidRPr="00A019E1" w:rsidRDefault="00A019E1" w:rsidP="003050B8">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A reverse auction (also known as conservation or procurement auction) involves a single buyer (auctioneer) and several sellers (bidders) who use bidding rules and market competition to make offers for compensating participants of the biodiversity conservation scheme</w:t>
            </w:r>
          </w:p>
        </w:tc>
        <w:tc>
          <w:tcPr>
            <w:tcW w:w="2932" w:type="dxa"/>
            <w:tcBorders>
              <w:top w:val="single" w:sz="4" w:space="0" w:color="auto"/>
              <w:bottom w:val="single" w:sz="4" w:space="0" w:color="auto"/>
            </w:tcBorders>
          </w:tcPr>
          <w:p w14:paraId="6E8322B3" w14:textId="77777777" w:rsidR="00A019E1" w:rsidRPr="00A019E1" w:rsidRDefault="00A019E1" w:rsidP="003050B8">
            <w:pPr>
              <w:spacing w:line="360" w:lineRule="auto"/>
              <w:jc w:val="center"/>
              <w:rPr>
                <w:rFonts w:ascii="Times New Roman" w:hAnsi="Times New Roman" w:cs="Times New Roman"/>
                <w:sz w:val="24"/>
                <w:szCs w:val="24"/>
                <w:lang w:val="it-IT"/>
              </w:rPr>
            </w:pPr>
            <w:r w:rsidRPr="00A019E1">
              <w:rPr>
                <w:rFonts w:ascii="Times New Roman" w:eastAsia="Times New Roman" w:hAnsi="Times New Roman" w:cs="Times New Roman"/>
                <w:sz w:val="24"/>
                <w:szCs w:val="24"/>
                <w:lang w:val="it-IT" w:eastAsia="en-GB"/>
              </w:rPr>
              <w:t xml:space="preserve">(Ferraro, 2007; Pant, 2014; Otto </w:t>
            </w:r>
            <w:r w:rsidRPr="00A019E1">
              <w:rPr>
                <w:rFonts w:ascii="Times New Roman" w:eastAsia="Times New Roman" w:hAnsi="Times New Roman" w:cs="Times New Roman"/>
                <w:i/>
                <w:iCs/>
                <w:sz w:val="24"/>
                <w:szCs w:val="24"/>
                <w:lang w:val="it-IT" w:eastAsia="en-GB"/>
              </w:rPr>
              <w:t xml:space="preserve">et al. </w:t>
            </w:r>
            <w:r w:rsidRPr="00A019E1">
              <w:rPr>
                <w:rFonts w:ascii="Times New Roman" w:eastAsia="Times New Roman" w:hAnsi="Times New Roman" w:cs="Times New Roman"/>
                <w:sz w:val="24"/>
                <w:szCs w:val="24"/>
                <w:lang w:val="it-IT" w:eastAsia="en-GB"/>
              </w:rPr>
              <w:t>2021)</w:t>
            </w:r>
          </w:p>
        </w:tc>
      </w:tr>
      <w:tr w:rsidR="00A019E1" w:rsidRPr="00A019E1" w14:paraId="730B0841" w14:textId="77777777" w:rsidTr="003050B8">
        <w:trPr>
          <w:trHeight w:val="401"/>
        </w:trPr>
        <w:tc>
          <w:tcPr>
            <w:tcW w:w="1990" w:type="dxa"/>
            <w:tcBorders>
              <w:top w:val="single" w:sz="4" w:space="0" w:color="auto"/>
              <w:bottom w:val="single" w:sz="4" w:space="0" w:color="auto"/>
            </w:tcBorders>
          </w:tcPr>
          <w:p w14:paraId="55847B74" w14:textId="77777777" w:rsidR="00A019E1" w:rsidRPr="00A019E1" w:rsidRDefault="00A019E1" w:rsidP="003050B8">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Conservation contract</w:t>
            </w:r>
          </w:p>
        </w:tc>
        <w:tc>
          <w:tcPr>
            <w:tcW w:w="4962" w:type="dxa"/>
            <w:tcBorders>
              <w:top w:val="single" w:sz="4" w:space="0" w:color="auto"/>
              <w:bottom w:val="single" w:sz="4" w:space="0" w:color="auto"/>
            </w:tcBorders>
          </w:tcPr>
          <w:p w14:paraId="56810162" w14:textId="77777777" w:rsidR="00A019E1" w:rsidRPr="00A019E1" w:rsidRDefault="00A019E1" w:rsidP="003050B8">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It is an agreement that specifies the period a particular level of ecosystem services or a set of </w:t>
            </w:r>
            <w:r w:rsidRPr="00A019E1">
              <w:rPr>
                <w:rFonts w:ascii="Times New Roman" w:hAnsi="Times New Roman" w:cs="Times New Roman"/>
                <w:sz w:val="24"/>
                <w:szCs w:val="24"/>
              </w:rPr>
              <w:lastRenderedPageBreak/>
              <w:t xml:space="preserve">observable land uses are delivered in exchange for a payment </w:t>
            </w:r>
          </w:p>
        </w:tc>
        <w:tc>
          <w:tcPr>
            <w:tcW w:w="2932" w:type="dxa"/>
            <w:tcBorders>
              <w:top w:val="single" w:sz="4" w:space="0" w:color="auto"/>
              <w:bottom w:val="single" w:sz="4" w:space="0" w:color="auto"/>
            </w:tcBorders>
          </w:tcPr>
          <w:p w14:paraId="2E1EEA30" w14:textId="77777777" w:rsidR="00A019E1" w:rsidRPr="00A019E1" w:rsidRDefault="00A019E1" w:rsidP="003050B8">
            <w:pPr>
              <w:spacing w:line="360" w:lineRule="auto"/>
              <w:rPr>
                <w:rFonts w:ascii="Times New Roman" w:hAnsi="Times New Roman" w:cs="Times New Roman"/>
                <w:sz w:val="24"/>
                <w:szCs w:val="24"/>
              </w:rPr>
            </w:pPr>
            <w:r w:rsidRPr="00A019E1">
              <w:rPr>
                <w:rFonts w:ascii="Times New Roman" w:hAnsi="Times New Roman" w:cs="Times New Roman"/>
                <w:sz w:val="24"/>
                <w:szCs w:val="24"/>
              </w:rPr>
              <w:lastRenderedPageBreak/>
              <w:t xml:space="preserve">       </w:t>
            </w:r>
            <w:r w:rsidRPr="00A019E1">
              <w:rPr>
                <w:rFonts w:ascii="Times New Roman" w:eastAsia="Times New Roman" w:hAnsi="Times New Roman" w:cs="Times New Roman"/>
                <w:sz w:val="24"/>
                <w:szCs w:val="24"/>
                <w:lang w:val="it-IT" w:eastAsia="en-GB"/>
              </w:rPr>
              <w:t>Ferraro (2007)</w:t>
            </w:r>
          </w:p>
        </w:tc>
      </w:tr>
      <w:tr w:rsidR="00A019E1" w:rsidRPr="00A019E1" w14:paraId="253FC2D5" w14:textId="77777777" w:rsidTr="003050B8">
        <w:trPr>
          <w:trHeight w:val="401"/>
        </w:trPr>
        <w:tc>
          <w:tcPr>
            <w:tcW w:w="1990" w:type="dxa"/>
            <w:tcBorders>
              <w:top w:val="single" w:sz="4" w:space="0" w:color="auto"/>
              <w:bottom w:val="single" w:sz="4" w:space="0" w:color="auto"/>
            </w:tcBorders>
          </w:tcPr>
          <w:p w14:paraId="09489722" w14:textId="77777777" w:rsidR="00A019E1" w:rsidRPr="00A019E1" w:rsidRDefault="00A019E1" w:rsidP="003050B8">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Bidding   </w:t>
            </w:r>
          </w:p>
        </w:tc>
        <w:tc>
          <w:tcPr>
            <w:tcW w:w="4962" w:type="dxa"/>
            <w:tcBorders>
              <w:top w:val="single" w:sz="4" w:space="0" w:color="auto"/>
              <w:bottom w:val="single" w:sz="4" w:space="0" w:color="auto"/>
            </w:tcBorders>
          </w:tcPr>
          <w:p w14:paraId="40DAAE05" w14:textId="77777777" w:rsidR="00A019E1" w:rsidRPr="00A019E1" w:rsidRDefault="00A019E1" w:rsidP="003050B8">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It is the process of landowners/sellers deciding the most suitable payment offers which consist of a single or multiple units  </w:t>
            </w:r>
          </w:p>
        </w:tc>
        <w:tc>
          <w:tcPr>
            <w:tcW w:w="2932" w:type="dxa"/>
            <w:tcBorders>
              <w:top w:val="single" w:sz="4" w:space="0" w:color="auto"/>
              <w:bottom w:val="single" w:sz="4" w:space="0" w:color="auto"/>
            </w:tcBorders>
          </w:tcPr>
          <w:p w14:paraId="2052D846" w14:textId="77777777" w:rsidR="00A019E1" w:rsidRPr="00A019E1" w:rsidRDefault="00A019E1" w:rsidP="003050B8">
            <w:pPr>
              <w:spacing w:line="360" w:lineRule="auto"/>
              <w:rPr>
                <w:rFonts w:ascii="Times New Roman" w:hAnsi="Times New Roman" w:cs="Times New Roman"/>
                <w:sz w:val="24"/>
                <w:szCs w:val="24"/>
              </w:rPr>
            </w:pPr>
            <w:r w:rsidRPr="00A019E1">
              <w:rPr>
                <w:rFonts w:ascii="Times New Roman" w:hAnsi="Times New Roman" w:cs="Times New Roman"/>
                <w:sz w:val="24"/>
                <w:szCs w:val="24"/>
              </w:rPr>
              <w:t xml:space="preserve">      Ferraro (2007)</w:t>
            </w:r>
          </w:p>
        </w:tc>
      </w:tr>
      <w:tr w:rsidR="00A019E1" w:rsidRPr="00A019E1" w14:paraId="6CA5A1C6" w14:textId="77777777" w:rsidTr="003050B8">
        <w:trPr>
          <w:trHeight w:val="401"/>
        </w:trPr>
        <w:tc>
          <w:tcPr>
            <w:tcW w:w="1990" w:type="dxa"/>
            <w:tcBorders>
              <w:top w:val="single" w:sz="4" w:space="0" w:color="auto"/>
              <w:bottom w:val="single" w:sz="4" w:space="0" w:color="auto"/>
            </w:tcBorders>
          </w:tcPr>
          <w:p w14:paraId="1A223135" w14:textId="77777777" w:rsidR="00A019E1" w:rsidRPr="00A019E1" w:rsidRDefault="00A019E1" w:rsidP="003050B8">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Buyers/auctioneers</w:t>
            </w:r>
          </w:p>
        </w:tc>
        <w:tc>
          <w:tcPr>
            <w:tcW w:w="4962" w:type="dxa"/>
            <w:tcBorders>
              <w:top w:val="single" w:sz="4" w:space="0" w:color="auto"/>
              <w:bottom w:val="single" w:sz="4" w:space="0" w:color="auto"/>
            </w:tcBorders>
          </w:tcPr>
          <w:p w14:paraId="2CC69133" w14:textId="77777777" w:rsidR="00A019E1" w:rsidRPr="00A019E1" w:rsidRDefault="00A019E1" w:rsidP="003050B8">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These are the entities or individuals, or agencies motivated to purchase credits for biodiversity conservation </w:t>
            </w:r>
          </w:p>
        </w:tc>
        <w:tc>
          <w:tcPr>
            <w:tcW w:w="2932" w:type="dxa"/>
            <w:tcBorders>
              <w:top w:val="single" w:sz="4" w:space="0" w:color="auto"/>
              <w:bottom w:val="single" w:sz="4" w:space="0" w:color="auto"/>
            </w:tcBorders>
          </w:tcPr>
          <w:p w14:paraId="58BD2E4A" w14:textId="77777777" w:rsidR="00A019E1" w:rsidRPr="00A019E1" w:rsidRDefault="00A019E1" w:rsidP="003050B8">
            <w:pPr>
              <w:spacing w:line="360" w:lineRule="auto"/>
              <w:rPr>
                <w:rFonts w:ascii="Times New Roman" w:hAnsi="Times New Roman" w:cs="Times New Roman"/>
                <w:sz w:val="24"/>
                <w:szCs w:val="24"/>
              </w:rPr>
            </w:pPr>
            <w:r w:rsidRPr="00A019E1">
              <w:rPr>
                <w:rFonts w:ascii="Times New Roman" w:eastAsia="Times New Roman" w:hAnsi="Times New Roman" w:cs="Times New Roman"/>
                <w:sz w:val="24"/>
                <w:szCs w:val="24"/>
                <w:lang w:eastAsia="en-GB"/>
              </w:rPr>
              <w:t xml:space="preserve">      USDA (2022)</w:t>
            </w:r>
          </w:p>
        </w:tc>
      </w:tr>
      <w:tr w:rsidR="00A019E1" w:rsidRPr="00A019E1" w14:paraId="4FCE5462" w14:textId="77777777" w:rsidTr="003050B8">
        <w:trPr>
          <w:trHeight w:val="401"/>
        </w:trPr>
        <w:tc>
          <w:tcPr>
            <w:tcW w:w="1990" w:type="dxa"/>
            <w:tcBorders>
              <w:top w:val="single" w:sz="4" w:space="0" w:color="auto"/>
              <w:bottom w:val="single" w:sz="4" w:space="0" w:color="auto"/>
            </w:tcBorders>
          </w:tcPr>
          <w:p w14:paraId="293C216B" w14:textId="77777777" w:rsidR="00A019E1" w:rsidRPr="00A019E1" w:rsidRDefault="00A019E1" w:rsidP="003050B8">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Sellers</w:t>
            </w:r>
          </w:p>
        </w:tc>
        <w:tc>
          <w:tcPr>
            <w:tcW w:w="4962" w:type="dxa"/>
            <w:tcBorders>
              <w:top w:val="single" w:sz="4" w:space="0" w:color="auto"/>
              <w:bottom w:val="single" w:sz="4" w:space="0" w:color="auto"/>
            </w:tcBorders>
          </w:tcPr>
          <w:p w14:paraId="02DABC59" w14:textId="77777777" w:rsidR="00A019E1" w:rsidRPr="00A019E1" w:rsidRDefault="00A019E1" w:rsidP="003050B8">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Defined as the landowners/resource owners who restore and improve or avert environmental degradation through adjusting to a set of management practices or creating new habitats</w:t>
            </w:r>
          </w:p>
        </w:tc>
        <w:tc>
          <w:tcPr>
            <w:tcW w:w="2932" w:type="dxa"/>
            <w:tcBorders>
              <w:top w:val="single" w:sz="4" w:space="0" w:color="auto"/>
              <w:bottom w:val="single" w:sz="4" w:space="0" w:color="auto"/>
            </w:tcBorders>
          </w:tcPr>
          <w:p w14:paraId="1C7857D5" w14:textId="77777777" w:rsidR="00A019E1" w:rsidRPr="00A019E1" w:rsidRDefault="00A019E1" w:rsidP="003050B8">
            <w:pPr>
              <w:spacing w:line="360" w:lineRule="auto"/>
              <w:rPr>
                <w:rFonts w:ascii="Times New Roman" w:hAnsi="Times New Roman" w:cs="Times New Roman"/>
                <w:sz w:val="24"/>
                <w:szCs w:val="24"/>
                <w:lang w:val="da-DK"/>
              </w:rPr>
            </w:pPr>
            <w:r w:rsidRPr="00A019E1">
              <w:rPr>
                <w:rFonts w:ascii="Times New Roman" w:hAnsi="Times New Roman" w:cs="Times New Roman"/>
                <w:sz w:val="24"/>
                <w:szCs w:val="24"/>
              </w:rPr>
              <w:t xml:space="preserve">      EEA (2021)</w:t>
            </w:r>
          </w:p>
        </w:tc>
      </w:tr>
    </w:tbl>
    <w:p w14:paraId="39880174" w14:textId="77777777" w:rsidR="00A019E1" w:rsidRPr="00A019E1" w:rsidRDefault="00A019E1" w:rsidP="00A019E1">
      <w:pPr>
        <w:spacing w:line="360" w:lineRule="auto"/>
        <w:jc w:val="both"/>
        <w:rPr>
          <w:rFonts w:ascii="Times New Roman" w:hAnsi="Times New Roman" w:cs="Times New Roman"/>
          <w:sz w:val="24"/>
          <w:szCs w:val="24"/>
        </w:rPr>
      </w:pPr>
    </w:p>
    <w:p w14:paraId="31AC8E6A" w14:textId="77777777" w:rsidR="00A019E1" w:rsidRPr="00A019E1" w:rsidRDefault="00A019E1" w:rsidP="00A019E1">
      <w:pPr>
        <w:pStyle w:val="ListParagraph"/>
        <w:numPr>
          <w:ilvl w:val="1"/>
          <w:numId w:val="38"/>
        </w:numPr>
        <w:spacing w:line="360" w:lineRule="auto"/>
        <w:jc w:val="both"/>
        <w:rPr>
          <w:rFonts w:ascii="Times New Roman" w:hAnsi="Times New Roman" w:cs="Times New Roman"/>
          <w:b/>
          <w:bCs/>
          <w:sz w:val="24"/>
          <w:szCs w:val="24"/>
        </w:rPr>
      </w:pPr>
      <w:r w:rsidRPr="00A019E1">
        <w:rPr>
          <w:rFonts w:ascii="Times New Roman" w:hAnsi="Times New Roman" w:cs="Times New Roman"/>
          <w:b/>
          <w:bCs/>
          <w:sz w:val="24"/>
          <w:szCs w:val="24"/>
        </w:rPr>
        <w:t>Database search process</w:t>
      </w:r>
    </w:p>
    <w:p w14:paraId="43E05917" w14:textId="77777777" w:rsidR="00A019E1" w:rsidRPr="00A019E1" w:rsidRDefault="00A019E1" w:rsidP="00A019E1">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Our search was restricted to English language articles in Scopus and Web of Science using different key word combinations (see Table 2). We combined different words using Boolean “OR” and “AND”. An asterik (*) sign was used to shorten words with several endings while “…” was used to limit search to a set of keywords.</w:t>
      </w:r>
    </w:p>
    <w:p w14:paraId="10C6A65E" w14:textId="77777777" w:rsidR="00A019E1" w:rsidRPr="00A019E1" w:rsidRDefault="00A019E1" w:rsidP="00A019E1">
      <w:pPr>
        <w:spacing w:line="360" w:lineRule="auto"/>
        <w:jc w:val="both"/>
        <w:rPr>
          <w:rFonts w:ascii="Times New Roman" w:hAnsi="Times New Roman" w:cs="Times New Roman"/>
          <w:sz w:val="24"/>
          <w:szCs w:val="24"/>
        </w:rPr>
      </w:pPr>
    </w:p>
    <w:p w14:paraId="2FE923EA" w14:textId="77777777" w:rsidR="00A019E1" w:rsidRPr="00A019E1" w:rsidRDefault="00A019E1" w:rsidP="00A019E1">
      <w:pPr>
        <w:spacing w:line="360" w:lineRule="auto"/>
        <w:jc w:val="both"/>
        <w:rPr>
          <w:rFonts w:ascii="Times New Roman" w:hAnsi="Times New Roman" w:cs="Times New Roman"/>
          <w:b/>
          <w:bCs/>
          <w:sz w:val="24"/>
          <w:szCs w:val="24"/>
        </w:rPr>
      </w:pPr>
      <w:r w:rsidRPr="00A019E1">
        <w:rPr>
          <w:rFonts w:ascii="Times New Roman" w:hAnsi="Times New Roman" w:cs="Times New Roman"/>
          <w:b/>
          <w:bCs/>
          <w:sz w:val="24"/>
          <w:szCs w:val="24"/>
        </w:rPr>
        <w:t>Table 2: Keywords and search strings</w:t>
      </w:r>
    </w:p>
    <w:tbl>
      <w:tblPr>
        <w:tblStyle w:val="TableGrid"/>
        <w:tblW w:w="97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59"/>
        <w:gridCol w:w="4896"/>
      </w:tblGrid>
      <w:tr w:rsidR="00A019E1" w:rsidRPr="00A019E1" w14:paraId="75F312FA" w14:textId="77777777" w:rsidTr="003050B8">
        <w:trPr>
          <w:trHeight w:val="364"/>
          <w:jc w:val="center"/>
        </w:trPr>
        <w:tc>
          <w:tcPr>
            <w:tcW w:w="4895" w:type="dxa"/>
            <w:gridSpan w:val="2"/>
            <w:tcBorders>
              <w:top w:val="single" w:sz="4" w:space="0" w:color="auto"/>
              <w:bottom w:val="single" w:sz="4" w:space="0" w:color="auto"/>
            </w:tcBorders>
          </w:tcPr>
          <w:p w14:paraId="1E139197" w14:textId="77777777" w:rsidR="00A019E1" w:rsidRPr="00A019E1" w:rsidRDefault="00A019E1" w:rsidP="003050B8">
            <w:pPr>
              <w:spacing w:line="360" w:lineRule="auto"/>
              <w:jc w:val="both"/>
              <w:rPr>
                <w:rFonts w:ascii="Times New Roman" w:hAnsi="Times New Roman" w:cs="Times New Roman"/>
                <w:b/>
                <w:bCs/>
                <w:sz w:val="24"/>
                <w:szCs w:val="24"/>
              </w:rPr>
            </w:pPr>
            <w:r w:rsidRPr="00A019E1">
              <w:rPr>
                <w:rFonts w:ascii="Times New Roman" w:hAnsi="Times New Roman" w:cs="Times New Roman"/>
                <w:b/>
                <w:bCs/>
                <w:sz w:val="24"/>
                <w:szCs w:val="24"/>
              </w:rPr>
              <w:t>Conservation auctions</w:t>
            </w:r>
          </w:p>
        </w:tc>
        <w:tc>
          <w:tcPr>
            <w:tcW w:w="4896" w:type="dxa"/>
            <w:tcBorders>
              <w:top w:val="single" w:sz="4" w:space="0" w:color="auto"/>
              <w:bottom w:val="single" w:sz="4" w:space="0" w:color="auto"/>
            </w:tcBorders>
          </w:tcPr>
          <w:p w14:paraId="6FC50F91" w14:textId="77777777" w:rsidR="00A019E1" w:rsidRPr="00A019E1" w:rsidRDefault="00A019E1" w:rsidP="003050B8">
            <w:pPr>
              <w:spacing w:line="360" w:lineRule="auto"/>
              <w:rPr>
                <w:rFonts w:ascii="Times New Roman" w:hAnsi="Times New Roman" w:cs="Times New Roman"/>
                <w:b/>
                <w:bCs/>
                <w:sz w:val="24"/>
                <w:szCs w:val="24"/>
              </w:rPr>
            </w:pPr>
            <w:r w:rsidRPr="00A019E1">
              <w:rPr>
                <w:rFonts w:ascii="Times New Roman" w:hAnsi="Times New Roman" w:cs="Times New Roman"/>
                <w:b/>
                <w:bCs/>
                <w:sz w:val="24"/>
                <w:szCs w:val="24"/>
              </w:rPr>
              <w:t>Conservation auction related vocabularly</w:t>
            </w:r>
          </w:p>
        </w:tc>
      </w:tr>
      <w:tr w:rsidR="00A019E1" w:rsidRPr="00A019E1" w14:paraId="22341E19" w14:textId="77777777" w:rsidTr="003050B8">
        <w:trPr>
          <w:trHeight w:val="2117"/>
          <w:jc w:val="center"/>
        </w:trPr>
        <w:tc>
          <w:tcPr>
            <w:tcW w:w="4536" w:type="dxa"/>
            <w:tcBorders>
              <w:top w:val="single" w:sz="4" w:space="0" w:color="auto"/>
              <w:bottom w:val="single" w:sz="4" w:space="0" w:color="auto"/>
            </w:tcBorders>
          </w:tcPr>
          <w:p w14:paraId="092BF0D7" w14:textId="77777777" w:rsidR="00A019E1" w:rsidRPr="00A019E1" w:rsidRDefault="00A019E1" w:rsidP="003050B8">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“Conservation auctions”, OR </w:t>
            </w:r>
          </w:p>
          <w:p w14:paraId="75C330DC" w14:textId="77777777" w:rsidR="00A019E1" w:rsidRPr="00A019E1" w:rsidRDefault="00A019E1" w:rsidP="003050B8">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“auction bids”, OR “bidding”, OR </w:t>
            </w:r>
          </w:p>
          <w:p w14:paraId="5C365012" w14:textId="77777777" w:rsidR="00A019E1" w:rsidRPr="00A019E1" w:rsidRDefault="00A019E1" w:rsidP="003050B8">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“land* participat*”, OR </w:t>
            </w:r>
          </w:p>
          <w:p w14:paraId="2AAAAEF6" w14:textId="77777777" w:rsidR="00A019E1" w:rsidRPr="00A019E1" w:rsidRDefault="00A019E1" w:rsidP="003050B8">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“joint bidding”, OR “joint-bidding”, OR</w:t>
            </w:r>
          </w:p>
          <w:p w14:paraId="7106E6D6" w14:textId="77777777" w:rsidR="00A019E1" w:rsidRPr="00A019E1" w:rsidRDefault="00A019E1" w:rsidP="003050B8">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“tender-based conservation” OR</w:t>
            </w:r>
          </w:p>
          <w:p w14:paraId="30D286EB" w14:textId="77777777" w:rsidR="00A019E1" w:rsidRPr="00A019E1" w:rsidRDefault="00A019E1" w:rsidP="003050B8">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“reverse auctions”</w:t>
            </w:r>
          </w:p>
        </w:tc>
        <w:tc>
          <w:tcPr>
            <w:tcW w:w="5255" w:type="dxa"/>
            <w:gridSpan w:val="2"/>
            <w:tcBorders>
              <w:top w:val="single" w:sz="4" w:space="0" w:color="auto"/>
              <w:bottom w:val="single" w:sz="4" w:space="0" w:color="auto"/>
            </w:tcBorders>
          </w:tcPr>
          <w:p w14:paraId="178EC3DC" w14:textId="77777777" w:rsidR="00A019E1" w:rsidRPr="00A019E1" w:rsidRDefault="00A019E1" w:rsidP="003050B8">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     AND</w:t>
            </w:r>
          </w:p>
          <w:p w14:paraId="5AFC8445" w14:textId="77777777" w:rsidR="00A019E1" w:rsidRPr="00A019E1" w:rsidRDefault="00A019E1" w:rsidP="003050B8">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    “conser*” OR, “agri-environ*” OR       </w:t>
            </w:r>
          </w:p>
          <w:p w14:paraId="246B317F" w14:textId="77777777" w:rsidR="00A019E1" w:rsidRPr="00A019E1" w:rsidRDefault="00A019E1" w:rsidP="003050B8">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    “participat*” OR, “auctions”, OR</w:t>
            </w:r>
          </w:p>
          <w:p w14:paraId="3F56943A" w14:textId="77777777" w:rsidR="00A019E1" w:rsidRPr="00A019E1" w:rsidRDefault="00A019E1" w:rsidP="003050B8">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    “contracts” OR</w:t>
            </w:r>
          </w:p>
          <w:p w14:paraId="77814CA9" w14:textId="77777777" w:rsidR="00A019E1" w:rsidRPr="00A019E1" w:rsidRDefault="00A019E1" w:rsidP="003050B8">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     “auction*” OR</w:t>
            </w:r>
          </w:p>
          <w:p w14:paraId="3666D632" w14:textId="77777777" w:rsidR="00A019E1" w:rsidRPr="00A019E1" w:rsidRDefault="00A019E1" w:rsidP="003050B8">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    “payment for ecosystem services”</w:t>
            </w:r>
          </w:p>
        </w:tc>
      </w:tr>
    </w:tbl>
    <w:p w14:paraId="44736811" w14:textId="77777777" w:rsidR="00A019E1" w:rsidRPr="00A019E1" w:rsidRDefault="00A019E1" w:rsidP="00A019E1">
      <w:pPr>
        <w:spacing w:line="360" w:lineRule="auto"/>
        <w:jc w:val="both"/>
        <w:rPr>
          <w:rFonts w:ascii="Times New Roman" w:hAnsi="Times New Roman" w:cs="Times New Roman"/>
          <w:b/>
          <w:bCs/>
          <w:sz w:val="24"/>
          <w:szCs w:val="24"/>
        </w:rPr>
      </w:pPr>
    </w:p>
    <w:p w14:paraId="1A6C3CDA" w14:textId="77777777" w:rsidR="00A019E1" w:rsidRPr="00A019E1" w:rsidRDefault="00A019E1" w:rsidP="00A019E1">
      <w:pPr>
        <w:pStyle w:val="ListParagraph"/>
        <w:numPr>
          <w:ilvl w:val="1"/>
          <w:numId w:val="38"/>
        </w:numPr>
        <w:spacing w:line="360" w:lineRule="auto"/>
        <w:jc w:val="both"/>
        <w:rPr>
          <w:rFonts w:ascii="Times New Roman" w:hAnsi="Times New Roman" w:cs="Times New Roman"/>
          <w:b/>
          <w:bCs/>
          <w:sz w:val="24"/>
          <w:szCs w:val="24"/>
        </w:rPr>
      </w:pPr>
      <w:r w:rsidRPr="00A019E1">
        <w:rPr>
          <w:rFonts w:ascii="Times New Roman" w:hAnsi="Times New Roman" w:cs="Times New Roman"/>
          <w:b/>
          <w:bCs/>
          <w:sz w:val="24"/>
          <w:szCs w:val="24"/>
        </w:rPr>
        <w:t>Selected studies</w:t>
      </w:r>
    </w:p>
    <w:p w14:paraId="45674785" w14:textId="77777777" w:rsidR="00A019E1" w:rsidRPr="00A019E1" w:rsidRDefault="00A019E1" w:rsidP="00A019E1">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Our study selection followed several steps. The first step involved transferring all relevant articles to Endnote software online followed by the removal of duplicates. Then it was followed </w:t>
      </w:r>
      <w:r w:rsidRPr="00A019E1">
        <w:rPr>
          <w:rFonts w:ascii="Times New Roman" w:hAnsi="Times New Roman" w:cs="Times New Roman"/>
          <w:sz w:val="24"/>
          <w:szCs w:val="24"/>
        </w:rPr>
        <w:lastRenderedPageBreak/>
        <w:t>by inclusion and exclusion criteria. Studies were included if (i), it involved either primary data collected from a laboratory or field experiment involving human subjects (i.e. hypothetical or real landowners), (ii) were on conservation auctions or procurement auctions or reverse auctions or conservation contracts or conservation tenders for securing biodiversity among private landholders or resource users for private benefits e.g. water or fish, or (iii) indicate joint-bidding for spatially connected biodiversity conservation, or (iv) was on factors influencing the participation behaviour of sellers or buyers in the bidding process. We excluded studies with theoretical experiments not involving human subjects, systematic reviews, book chapters, reports, editorials and commentaries, and studies not within the scope of auctions or tenders related to payment for ecosystem services.</w:t>
      </w:r>
    </w:p>
    <w:p w14:paraId="262F885E" w14:textId="77777777" w:rsidR="00A019E1" w:rsidRPr="00A019E1" w:rsidRDefault="00A019E1" w:rsidP="00A019E1">
      <w:pPr>
        <w:spacing w:line="360" w:lineRule="auto"/>
        <w:jc w:val="both"/>
        <w:rPr>
          <w:rFonts w:ascii="Times New Roman" w:hAnsi="Times New Roman" w:cs="Times New Roman"/>
          <w:sz w:val="24"/>
          <w:szCs w:val="24"/>
        </w:rPr>
      </w:pPr>
    </w:p>
    <w:p w14:paraId="088F49D4" w14:textId="77777777" w:rsidR="00A019E1" w:rsidRPr="00A019E1" w:rsidRDefault="00A019E1" w:rsidP="00A019E1">
      <w:pPr>
        <w:spacing w:line="360" w:lineRule="auto"/>
        <w:jc w:val="both"/>
        <w:rPr>
          <w:rFonts w:ascii="Times New Roman" w:hAnsi="Times New Roman" w:cs="Times New Roman"/>
          <w:b/>
          <w:bCs/>
          <w:sz w:val="24"/>
          <w:szCs w:val="24"/>
        </w:rPr>
      </w:pPr>
      <w:r w:rsidRPr="00A019E1">
        <w:rPr>
          <w:rFonts w:ascii="Times New Roman" w:hAnsi="Times New Roman" w:cs="Times New Roman"/>
          <w:b/>
          <w:bCs/>
          <w:sz w:val="24"/>
          <w:szCs w:val="24"/>
        </w:rPr>
        <w:t xml:space="preserve">2.3 Data extraction process </w:t>
      </w:r>
    </w:p>
    <w:p w14:paraId="7C100F05" w14:textId="77777777" w:rsidR="00A019E1" w:rsidRPr="00A019E1" w:rsidRDefault="00A019E1" w:rsidP="00A019E1">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Our data extraction process consisted of six parts. The first part had study characteristics such as: name of the first author, year of publication, title, the objective of the study, study type, study area, and data type etc. The second part had data on the nature of the ecosystem services and the buyers and sellers. The third part contained the existing land use/management practices, desired land use types, auction type, basis for the auction and the eligibility criteria. The fourth part contained data bidding process, whether spatial targeting was considered, auction format/dimension, economic incentive, average bid price/earning, pricing mechanism, contract length and effect of duration on contract performance, scoring rule, number of submitted bids, final bid selection criteria, number of bids accepted, information/communication treatment, feedback on auction outcomes, within subject cost-benefit conditions and effect on cost-effectiveness. The fifth part contained information on factors influencing auction participation behaviour, main study findings study limitations and research gaps. The final part consisted of a list of references included in our literature synthesis. A detailed summary of this review is attached in form of an excel sheet (see supplementary material 1).</w:t>
      </w:r>
    </w:p>
    <w:p w14:paraId="0F1D3E30" w14:textId="77777777" w:rsidR="00A019E1" w:rsidRPr="00A019E1" w:rsidRDefault="00A019E1" w:rsidP="00A019E1">
      <w:pPr>
        <w:spacing w:line="360" w:lineRule="auto"/>
        <w:jc w:val="both"/>
        <w:rPr>
          <w:rFonts w:ascii="Times New Roman" w:hAnsi="Times New Roman" w:cs="Times New Roman"/>
          <w:sz w:val="24"/>
          <w:szCs w:val="24"/>
        </w:rPr>
      </w:pPr>
    </w:p>
    <w:p w14:paraId="6FE76537" w14:textId="77777777" w:rsidR="00A019E1" w:rsidRPr="00A019E1" w:rsidRDefault="00A019E1" w:rsidP="00A019E1">
      <w:pPr>
        <w:pStyle w:val="ListParagraph"/>
        <w:numPr>
          <w:ilvl w:val="1"/>
          <w:numId w:val="44"/>
        </w:numPr>
        <w:spacing w:line="360" w:lineRule="auto"/>
        <w:jc w:val="both"/>
        <w:rPr>
          <w:rFonts w:ascii="Times New Roman" w:hAnsi="Times New Roman" w:cs="Times New Roman"/>
          <w:b/>
          <w:bCs/>
          <w:sz w:val="24"/>
          <w:szCs w:val="24"/>
        </w:rPr>
      </w:pPr>
      <w:r w:rsidRPr="00A019E1">
        <w:rPr>
          <w:rFonts w:ascii="Times New Roman" w:hAnsi="Times New Roman" w:cs="Times New Roman"/>
          <w:b/>
          <w:bCs/>
          <w:sz w:val="24"/>
          <w:szCs w:val="24"/>
        </w:rPr>
        <w:t>Data analysis strategy</w:t>
      </w:r>
    </w:p>
    <w:p w14:paraId="1B22EE83" w14:textId="77777777" w:rsidR="00A019E1" w:rsidRPr="00A019E1" w:rsidRDefault="00A019E1" w:rsidP="00A019E1">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We thematically and descriptively synthesized our literature to draw interpretations and conclusions.</w:t>
      </w:r>
    </w:p>
    <w:p w14:paraId="2624D110" w14:textId="77777777" w:rsidR="00A019E1" w:rsidRPr="00A019E1" w:rsidRDefault="00A019E1" w:rsidP="00A019E1">
      <w:pPr>
        <w:spacing w:line="360" w:lineRule="auto"/>
        <w:jc w:val="both"/>
        <w:rPr>
          <w:rFonts w:ascii="Times New Roman" w:hAnsi="Times New Roman" w:cs="Times New Roman"/>
          <w:sz w:val="24"/>
          <w:szCs w:val="24"/>
        </w:rPr>
      </w:pPr>
    </w:p>
    <w:p w14:paraId="6D751280" w14:textId="77777777" w:rsidR="00A019E1" w:rsidRPr="00A019E1" w:rsidRDefault="00A019E1" w:rsidP="00A019E1">
      <w:pPr>
        <w:pStyle w:val="ListParagraph"/>
        <w:numPr>
          <w:ilvl w:val="0"/>
          <w:numId w:val="38"/>
        </w:numPr>
        <w:spacing w:line="360" w:lineRule="auto"/>
        <w:jc w:val="both"/>
        <w:rPr>
          <w:rFonts w:ascii="Times New Roman" w:hAnsi="Times New Roman" w:cs="Times New Roman"/>
          <w:sz w:val="24"/>
          <w:szCs w:val="24"/>
        </w:rPr>
      </w:pPr>
      <w:r w:rsidRPr="00A019E1">
        <w:rPr>
          <w:rFonts w:ascii="Times New Roman" w:hAnsi="Times New Roman" w:cs="Times New Roman"/>
          <w:b/>
          <w:bCs/>
          <w:sz w:val="24"/>
          <w:szCs w:val="24"/>
        </w:rPr>
        <w:lastRenderedPageBreak/>
        <w:t>Results</w:t>
      </w:r>
    </w:p>
    <w:p w14:paraId="3F53A17A" w14:textId="5320C96B" w:rsidR="00A019E1" w:rsidRPr="00A019E1" w:rsidRDefault="00A019E1" w:rsidP="00A019E1">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Results from Web of Science and Scopus gave us a total of 2038 articles out of which 51 met our set criteria for inclusion in our literature synthesis (see figure 1). Selected studies were carried out in developing and developed economies, specifically in United States, Canada, Australia, Malawi, Malaysia, China, Finland, Indonesia, Tanzania, Kenya, Bolivia, Peru, Nepal</w:t>
      </w:r>
      <w:r w:rsidR="001E0E7E">
        <w:rPr>
          <w:rFonts w:ascii="Times New Roman" w:hAnsi="Times New Roman" w:cs="Times New Roman"/>
          <w:sz w:val="24"/>
          <w:szCs w:val="24"/>
        </w:rPr>
        <w:t>, United Kingdom, Japan</w:t>
      </w:r>
      <w:r w:rsidRPr="00A019E1">
        <w:rPr>
          <w:rFonts w:ascii="Times New Roman" w:hAnsi="Times New Roman" w:cs="Times New Roman"/>
          <w:sz w:val="24"/>
          <w:szCs w:val="24"/>
        </w:rPr>
        <w:t xml:space="preserve"> and Germany. These studies were in both specific habitats (e.g. agricultural habitats [2</w:t>
      </w:r>
      <w:r w:rsidR="00332CF8">
        <w:rPr>
          <w:rFonts w:ascii="Times New Roman" w:hAnsi="Times New Roman" w:cs="Times New Roman"/>
          <w:sz w:val="24"/>
          <w:szCs w:val="24"/>
        </w:rPr>
        <w:t>2</w:t>
      </w:r>
      <w:r w:rsidRPr="00A019E1">
        <w:rPr>
          <w:rFonts w:ascii="Times New Roman" w:hAnsi="Times New Roman" w:cs="Times New Roman"/>
          <w:sz w:val="24"/>
          <w:szCs w:val="24"/>
        </w:rPr>
        <w:t>%], watershed</w:t>
      </w:r>
      <w:r w:rsidR="00FA6BC1">
        <w:rPr>
          <w:rFonts w:ascii="Times New Roman" w:hAnsi="Times New Roman" w:cs="Times New Roman"/>
          <w:sz w:val="24"/>
          <w:szCs w:val="24"/>
        </w:rPr>
        <w:t>/water bodies</w:t>
      </w:r>
      <w:r w:rsidRPr="00A019E1">
        <w:rPr>
          <w:rFonts w:ascii="Times New Roman" w:hAnsi="Times New Roman" w:cs="Times New Roman"/>
          <w:sz w:val="24"/>
          <w:szCs w:val="24"/>
        </w:rPr>
        <w:t xml:space="preserve"> [</w:t>
      </w:r>
      <w:r w:rsidR="00FA6BC1">
        <w:rPr>
          <w:rFonts w:ascii="Times New Roman" w:hAnsi="Times New Roman" w:cs="Times New Roman"/>
          <w:sz w:val="24"/>
          <w:szCs w:val="24"/>
        </w:rPr>
        <w:t>3</w:t>
      </w:r>
      <w:r w:rsidR="006252D9">
        <w:rPr>
          <w:rFonts w:ascii="Times New Roman" w:hAnsi="Times New Roman" w:cs="Times New Roman"/>
          <w:sz w:val="24"/>
          <w:szCs w:val="24"/>
        </w:rPr>
        <w:t>3</w:t>
      </w:r>
      <w:r w:rsidRPr="00A019E1">
        <w:rPr>
          <w:rFonts w:ascii="Times New Roman" w:hAnsi="Times New Roman" w:cs="Times New Roman"/>
          <w:sz w:val="24"/>
          <w:szCs w:val="24"/>
        </w:rPr>
        <w:t>%], grassland and wetland combined [</w:t>
      </w:r>
      <w:r w:rsidR="00FA6BC1">
        <w:rPr>
          <w:rFonts w:ascii="Times New Roman" w:hAnsi="Times New Roman" w:cs="Times New Roman"/>
          <w:sz w:val="24"/>
          <w:szCs w:val="24"/>
        </w:rPr>
        <w:t>2</w:t>
      </w:r>
      <w:r w:rsidRPr="00A019E1">
        <w:rPr>
          <w:rFonts w:ascii="Times New Roman" w:hAnsi="Times New Roman" w:cs="Times New Roman"/>
          <w:sz w:val="24"/>
          <w:szCs w:val="24"/>
        </w:rPr>
        <w:t>%], grassland [</w:t>
      </w:r>
      <w:r w:rsidR="00D63512">
        <w:rPr>
          <w:rFonts w:ascii="Times New Roman" w:hAnsi="Times New Roman" w:cs="Times New Roman"/>
          <w:sz w:val="24"/>
          <w:szCs w:val="24"/>
        </w:rPr>
        <w:t>6</w:t>
      </w:r>
      <w:r w:rsidRPr="00A019E1">
        <w:rPr>
          <w:rFonts w:ascii="Times New Roman" w:hAnsi="Times New Roman" w:cs="Times New Roman"/>
          <w:sz w:val="24"/>
          <w:szCs w:val="24"/>
        </w:rPr>
        <w:t xml:space="preserve">%], </w:t>
      </w:r>
      <w:r w:rsidR="00D63512">
        <w:rPr>
          <w:rFonts w:ascii="Times New Roman" w:hAnsi="Times New Roman" w:cs="Times New Roman"/>
          <w:sz w:val="24"/>
          <w:szCs w:val="24"/>
        </w:rPr>
        <w:t xml:space="preserve">forests [4%], </w:t>
      </w:r>
      <w:r w:rsidRPr="00A019E1">
        <w:rPr>
          <w:rFonts w:ascii="Times New Roman" w:hAnsi="Times New Roman" w:cs="Times New Roman"/>
          <w:sz w:val="24"/>
          <w:szCs w:val="24"/>
        </w:rPr>
        <w:t>cultural habitats [</w:t>
      </w:r>
      <w:r w:rsidR="00D63512">
        <w:rPr>
          <w:rFonts w:ascii="Times New Roman" w:hAnsi="Times New Roman" w:cs="Times New Roman"/>
          <w:sz w:val="24"/>
          <w:szCs w:val="24"/>
        </w:rPr>
        <w:t>2</w:t>
      </w:r>
      <w:r w:rsidRPr="00A019E1">
        <w:rPr>
          <w:rFonts w:ascii="Times New Roman" w:hAnsi="Times New Roman" w:cs="Times New Roman"/>
          <w:sz w:val="24"/>
          <w:szCs w:val="24"/>
        </w:rPr>
        <w:t>%] and un</w:t>
      </w:r>
      <w:r w:rsidR="00313325">
        <w:rPr>
          <w:rFonts w:ascii="Times New Roman" w:hAnsi="Times New Roman" w:cs="Times New Roman"/>
          <w:sz w:val="24"/>
          <w:szCs w:val="24"/>
        </w:rPr>
        <w:t xml:space="preserve">clearly </w:t>
      </w:r>
      <w:r w:rsidRPr="00A019E1">
        <w:rPr>
          <w:rFonts w:ascii="Times New Roman" w:hAnsi="Times New Roman" w:cs="Times New Roman"/>
          <w:sz w:val="24"/>
          <w:szCs w:val="24"/>
        </w:rPr>
        <w:t xml:space="preserve">specified land </w:t>
      </w:r>
      <w:r w:rsidR="006252D9">
        <w:rPr>
          <w:rFonts w:ascii="Times New Roman" w:hAnsi="Times New Roman" w:cs="Times New Roman"/>
          <w:sz w:val="24"/>
          <w:szCs w:val="24"/>
        </w:rPr>
        <w:t xml:space="preserve">and vegetation </w:t>
      </w:r>
      <w:r w:rsidRPr="00A019E1">
        <w:rPr>
          <w:rFonts w:ascii="Times New Roman" w:hAnsi="Times New Roman" w:cs="Times New Roman"/>
          <w:sz w:val="24"/>
          <w:szCs w:val="24"/>
        </w:rPr>
        <w:t>habitats [</w:t>
      </w:r>
      <w:r w:rsidR="006252D9">
        <w:rPr>
          <w:rFonts w:ascii="Times New Roman" w:hAnsi="Times New Roman" w:cs="Times New Roman"/>
          <w:sz w:val="24"/>
          <w:szCs w:val="24"/>
        </w:rPr>
        <w:t>24</w:t>
      </w:r>
      <w:r w:rsidRPr="00A019E1">
        <w:rPr>
          <w:rFonts w:ascii="Times New Roman" w:hAnsi="Times New Roman" w:cs="Times New Roman"/>
          <w:sz w:val="24"/>
          <w:szCs w:val="24"/>
        </w:rPr>
        <w:t>%]</w:t>
      </w:r>
      <w:r w:rsidR="00D779A7">
        <w:rPr>
          <w:rFonts w:ascii="Times New Roman" w:hAnsi="Times New Roman" w:cs="Times New Roman"/>
          <w:sz w:val="24"/>
          <w:szCs w:val="24"/>
        </w:rPr>
        <w:t>)</w:t>
      </w:r>
      <w:r w:rsidRPr="00A019E1">
        <w:rPr>
          <w:rFonts w:ascii="Times New Roman" w:hAnsi="Times New Roman" w:cs="Times New Roman"/>
          <w:sz w:val="24"/>
          <w:szCs w:val="24"/>
        </w:rPr>
        <w:t>. The basis of the conservation auctions included procurement of spatially adjacent land use projects, conservation of native habitats being converted into agricultural uses, to protect, maintain and establish new vegetation, pollution abatement (e.g. phosphorus), wetland restoration, carbon sequestration through conversion of marginal lands, social and cultural values preservation, prevent</w:t>
      </w:r>
      <w:r w:rsidR="00E404F5">
        <w:rPr>
          <w:rFonts w:ascii="Times New Roman" w:hAnsi="Times New Roman" w:cs="Times New Roman"/>
          <w:sz w:val="24"/>
          <w:szCs w:val="24"/>
        </w:rPr>
        <w:t>ion of</w:t>
      </w:r>
      <w:r w:rsidRPr="00A019E1">
        <w:rPr>
          <w:rFonts w:ascii="Times New Roman" w:hAnsi="Times New Roman" w:cs="Times New Roman"/>
          <w:sz w:val="24"/>
          <w:szCs w:val="24"/>
        </w:rPr>
        <w:t xml:space="preserve"> fisheries</w:t>
      </w:r>
      <w:r w:rsidR="00E404F5" w:rsidRPr="00E404F5">
        <w:rPr>
          <w:rFonts w:ascii="Times New Roman" w:hAnsi="Times New Roman" w:cs="Times New Roman"/>
          <w:sz w:val="24"/>
          <w:szCs w:val="24"/>
        </w:rPr>
        <w:t xml:space="preserve"> </w:t>
      </w:r>
      <w:r w:rsidR="00E404F5" w:rsidRPr="00A019E1">
        <w:rPr>
          <w:rFonts w:ascii="Times New Roman" w:hAnsi="Times New Roman" w:cs="Times New Roman"/>
          <w:sz w:val="24"/>
          <w:szCs w:val="24"/>
        </w:rPr>
        <w:t>degradation</w:t>
      </w:r>
      <w:r w:rsidRPr="00A019E1">
        <w:rPr>
          <w:rFonts w:ascii="Times New Roman" w:hAnsi="Times New Roman" w:cs="Times New Roman"/>
          <w:sz w:val="24"/>
          <w:szCs w:val="24"/>
        </w:rPr>
        <w:t>, soil conservation</w:t>
      </w:r>
      <w:r w:rsidR="001B538E">
        <w:rPr>
          <w:rFonts w:ascii="Times New Roman" w:hAnsi="Times New Roman" w:cs="Times New Roman"/>
          <w:sz w:val="24"/>
          <w:szCs w:val="24"/>
        </w:rPr>
        <w:t>,</w:t>
      </w:r>
      <w:r w:rsidRPr="00A019E1">
        <w:rPr>
          <w:rFonts w:ascii="Times New Roman" w:hAnsi="Times New Roman" w:cs="Times New Roman"/>
          <w:sz w:val="24"/>
          <w:szCs w:val="24"/>
        </w:rPr>
        <w:t xml:space="preserve"> determin</w:t>
      </w:r>
      <w:r w:rsidR="00313325">
        <w:rPr>
          <w:rFonts w:ascii="Times New Roman" w:hAnsi="Times New Roman" w:cs="Times New Roman"/>
          <w:sz w:val="24"/>
          <w:szCs w:val="24"/>
        </w:rPr>
        <w:t>ation of</w:t>
      </w:r>
      <w:r w:rsidRPr="00A019E1">
        <w:rPr>
          <w:rFonts w:ascii="Times New Roman" w:hAnsi="Times New Roman" w:cs="Times New Roman"/>
          <w:sz w:val="24"/>
          <w:szCs w:val="24"/>
        </w:rPr>
        <w:t xml:space="preserve"> how participants respond to different levels of information</w:t>
      </w:r>
      <w:r w:rsidR="001B538E">
        <w:rPr>
          <w:rFonts w:ascii="Times New Roman" w:hAnsi="Times New Roman" w:cs="Times New Roman"/>
          <w:sz w:val="24"/>
          <w:szCs w:val="24"/>
        </w:rPr>
        <w:t>, reduc</w:t>
      </w:r>
      <w:r w:rsidR="00313325">
        <w:rPr>
          <w:rFonts w:ascii="Times New Roman" w:hAnsi="Times New Roman" w:cs="Times New Roman"/>
          <w:sz w:val="24"/>
          <w:szCs w:val="24"/>
        </w:rPr>
        <w:t>tion of</w:t>
      </w:r>
      <w:r w:rsidR="001B538E">
        <w:rPr>
          <w:rFonts w:ascii="Times New Roman" w:hAnsi="Times New Roman" w:cs="Times New Roman"/>
          <w:sz w:val="24"/>
          <w:szCs w:val="24"/>
        </w:rPr>
        <w:t xml:space="preserve"> pesticide and fertilizer use</w:t>
      </w:r>
      <w:r w:rsidR="00FE7624">
        <w:rPr>
          <w:rFonts w:ascii="Times New Roman" w:hAnsi="Times New Roman" w:cs="Times New Roman"/>
          <w:sz w:val="24"/>
          <w:szCs w:val="24"/>
        </w:rPr>
        <w:t xml:space="preserve"> and manage</w:t>
      </w:r>
      <w:r w:rsidR="00313325">
        <w:rPr>
          <w:rFonts w:ascii="Times New Roman" w:hAnsi="Times New Roman" w:cs="Times New Roman"/>
          <w:sz w:val="24"/>
          <w:szCs w:val="24"/>
        </w:rPr>
        <w:t>ment of</w:t>
      </w:r>
      <w:r w:rsidR="00FE7624">
        <w:rPr>
          <w:rFonts w:ascii="Times New Roman" w:hAnsi="Times New Roman" w:cs="Times New Roman"/>
          <w:sz w:val="24"/>
          <w:szCs w:val="24"/>
        </w:rPr>
        <w:t xml:space="preserve"> non-remnant vegetation</w:t>
      </w:r>
      <w:r w:rsidRPr="00A019E1">
        <w:rPr>
          <w:rFonts w:ascii="Times New Roman" w:hAnsi="Times New Roman" w:cs="Times New Roman"/>
          <w:sz w:val="24"/>
          <w:szCs w:val="24"/>
        </w:rPr>
        <w:t>. The economic incentive of about 6% of the studies was in-kind payment while 9</w:t>
      </w:r>
      <w:r w:rsidR="00B834F2">
        <w:rPr>
          <w:rFonts w:ascii="Times New Roman" w:hAnsi="Times New Roman" w:cs="Times New Roman"/>
          <w:sz w:val="24"/>
          <w:szCs w:val="24"/>
        </w:rPr>
        <w:t>2</w:t>
      </w:r>
      <w:r w:rsidRPr="00A019E1">
        <w:rPr>
          <w:rFonts w:ascii="Times New Roman" w:hAnsi="Times New Roman" w:cs="Times New Roman"/>
          <w:sz w:val="24"/>
          <w:szCs w:val="24"/>
        </w:rPr>
        <w:t>% of the studies were monetary</w:t>
      </w:r>
      <w:r w:rsidR="00FE7624">
        <w:rPr>
          <w:rFonts w:ascii="Times New Roman" w:hAnsi="Times New Roman" w:cs="Times New Roman"/>
          <w:sz w:val="24"/>
          <w:szCs w:val="24"/>
        </w:rPr>
        <w:t>, and 4% had not specified the economic incentive</w:t>
      </w:r>
      <w:r w:rsidRPr="00A019E1">
        <w:rPr>
          <w:rFonts w:ascii="Times New Roman" w:hAnsi="Times New Roman" w:cs="Times New Roman"/>
          <w:sz w:val="24"/>
          <w:szCs w:val="24"/>
        </w:rPr>
        <w:t>. The pricing rules in the studies were as follows - discriminatory (</w:t>
      </w:r>
      <w:r w:rsidR="00B834F2">
        <w:rPr>
          <w:rFonts w:ascii="Times New Roman" w:hAnsi="Times New Roman" w:cs="Times New Roman"/>
          <w:sz w:val="24"/>
          <w:szCs w:val="24"/>
        </w:rPr>
        <w:t>43</w:t>
      </w:r>
      <w:r w:rsidRPr="00A019E1">
        <w:rPr>
          <w:rFonts w:ascii="Times New Roman" w:hAnsi="Times New Roman" w:cs="Times New Roman"/>
          <w:sz w:val="24"/>
          <w:szCs w:val="24"/>
        </w:rPr>
        <w:t>%), uniform (1</w:t>
      </w:r>
      <w:r w:rsidR="001F00EB">
        <w:rPr>
          <w:rFonts w:ascii="Times New Roman" w:hAnsi="Times New Roman" w:cs="Times New Roman"/>
          <w:sz w:val="24"/>
          <w:szCs w:val="24"/>
        </w:rPr>
        <w:t>6</w:t>
      </w:r>
      <w:r w:rsidRPr="00A019E1">
        <w:rPr>
          <w:rFonts w:ascii="Times New Roman" w:hAnsi="Times New Roman" w:cs="Times New Roman"/>
          <w:sz w:val="24"/>
          <w:szCs w:val="24"/>
        </w:rPr>
        <w:t>%), both discriminatory and uniform (2</w:t>
      </w:r>
      <w:r w:rsidR="00EE7104">
        <w:rPr>
          <w:rFonts w:ascii="Times New Roman" w:hAnsi="Times New Roman" w:cs="Times New Roman"/>
          <w:sz w:val="24"/>
          <w:szCs w:val="24"/>
        </w:rPr>
        <w:t>5</w:t>
      </w:r>
      <w:r w:rsidRPr="00A019E1">
        <w:rPr>
          <w:rFonts w:ascii="Times New Roman" w:hAnsi="Times New Roman" w:cs="Times New Roman"/>
          <w:sz w:val="24"/>
          <w:szCs w:val="24"/>
        </w:rPr>
        <w:t>%), combined discriminatory, uniform and cost-benefit ratio (</w:t>
      </w:r>
      <w:r w:rsidR="001F00EB">
        <w:rPr>
          <w:rFonts w:ascii="Times New Roman" w:hAnsi="Times New Roman" w:cs="Times New Roman"/>
          <w:sz w:val="24"/>
          <w:szCs w:val="24"/>
        </w:rPr>
        <w:t>2</w:t>
      </w:r>
      <w:r w:rsidRPr="00A019E1">
        <w:rPr>
          <w:rFonts w:ascii="Times New Roman" w:hAnsi="Times New Roman" w:cs="Times New Roman"/>
          <w:sz w:val="24"/>
          <w:szCs w:val="24"/>
        </w:rPr>
        <w:t>%)</w:t>
      </w:r>
      <w:r w:rsidR="001F00EB">
        <w:rPr>
          <w:rFonts w:ascii="Times New Roman" w:hAnsi="Times New Roman" w:cs="Times New Roman"/>
          <w:sz w:val="24"/>
          <w:szCs w:val="24"/>
        </w:rPr>
        <w:t xml:space="preserve"> and not clearly specified </w:t>
      </w:r>
      <w:r w:rsidR="00313325">
        <w:rPr>
          <w:rFonts w:ascii="Times New Roman" w:hAnsi="Times New Roman" w:cs="Times New Roman"/>
          <w:sz w:val="24"/>
          <w:szCs w:val="24"/>
        </w:rPr>
        <w:t xml:space="preserve">pricing rules </w:t>
      </w:r>
      <w:r w:rsidR="00D779A7">
        <w:rPr>
          <w:rFonts w:ascii="Times New Roman" w:hAnsi="Times New Roman" w:cs="Times New Roman"/>
          <w:sz w:val="24"/>
          <w:szCs w:val="24"/>
        </w:rPr>
        <w:t>(8%)</w:t>
      </w:r>
      <w:r w:rsidRPr="00A019E1">
        <w:rPr>
          <w:rFonts w:ascii="Times New Roman" w:hAnsi="Times New Roman" w:cs="Times New Roman"/>
          <w:sz w:val="24"/>
          <w:szCs w:val="24"/>
        </w:rPr>
        <w:t>. The auction dimension/format of most of the studies was iterative (</w:t>
      </w:r>
      <w:r w:rsidR="003335C8">
        <w:rPr>
          <w:rFonts w:ascii="Times New Roman" w:hAnsi="Times New Roman" w:cs="Times New Roman"/>
          <w:sz w:val="24"/>
          <w:szCs w:val="24"/>
        </w:rPr>
        <w:t>59</w:t>
      </w:r>
      <w:r w:rsidRPr="00A019E1">
        <w:rPr>
          <w:rFonts w:ascii="Times New Roman" w:hAnsi="Times New Roman" w:cs="Times New Roman"/>
          <w:sz w:val="24"/>
          <w:szCs w:val="24"/>
        </w:rPr>
        <w:t>%) followed by single round</w:t>
      </w:r>
      <w:r w:rsidR="003335C8">
        <w:rPr>
          <w:rFonts w:ascii="Times New Roman" w:hAnsi="Times New Roman" w:cs="Times New Roman"/>
          <w:sz w:val="24"/>
          <w:szCs w:val="24"/>
        </w:rPr>
        <w:t xml:space="preserve"> and two round</w:t>
      </w:r>
      <w:r w:rsidRPr="00A019E1">
        <w:rPr>
          <w:rFonts w:ascii="Times New Roman" w:hAnsi="Times New Roman" w:cs="Times New Roman"/>
          <w:sz w:val="24"/>
          <w:szCs w:val="24"/>
        </w:rPr>
        <w:t xml:space="preserve"> formats (</w:t>
      </w:r>
      <w:r w:rsidR="003335C8">
        <w:rPr>
          <w:rFonts w:ascii="Times New Roman" w:hAnsi="Times New Roman" w:cs="Times New Roman"/>
          <w:sz w:val="24"/>
          <w:szCs w:val="24"/>
        </w:rPr>
        <w:t>24</w:t>
      </w:r>
      <w:r w:rsidRPr="00A019E1">
        <w:rPr>
          <w:rFonts w:ascii="Times New Roman" w:hAnsi="Times New Roman" w:cs="Times New Roman"/>
          <w:sz w:val="24"/>
          <w:szCs w:val="24"/>
        </w:rPr>
        <w:t xml:space="preserve">%) and </w:t>
      </w:r>
      <w:r w:rsidRPr="0058182F">
        <w:rPr>
          <w:rFonts w:ascii="Times New Roman" w:hAnsi="Times New Roman" w:cs="Times New Roman"/>
          <w:sz w:val="24"/>
          <w:szCs w:val="24"/>
        </w:rPr>
        <w:t>combined single and iterative formats (</w:t>
      </w:r>
      <w:r w:rsidR="0058182F" w:rsidRPr="0058182F">
        <w:rPr>
          <w:rFonts w:ascii="Times New Roman" w:hAnsi="Times New Roman" w:cs="Times New Roman"/>
          <w:sz w:val="24"/>
          <w:szCs w:val="24"/>
        </w:rPr>
        <w:t>6</w:t>
      </w:r>
      <w:r w:rsidRPr="0058182F">
        <w:rPr>
          <w:rFonts w:ascii="Times New Roman" w:hAnsi="Times New Roman" w:cs="Times New Roman"/>
          <w:sz w:val="24"/>
          <w:szCs w:val="24"/>
        </w:rPr>
        <w:t xml:space="preserve">%) </w:t>
      </w:r>
      <w:r w:rsidRPr="00A019E1">
        <w:rPr>
          <w:rFonts w:ascii="Times New Roman" w:hAnsi="Times New Roman" w:cs="Times New Roman"/>
          <w:sz w:val="24"/>
          <w:szCs w:val="24"/>
        </w:rPr>
        <w:t>while for 1</w:t>
      </w:r>
      <w:r w:rsidR="0058182F">
        <w:rPr>
          <w:rFonts w:ascii="Times New Roman" w:hAnsi="Times New Roman" w:cs="Times New Roman"/>
          <w:sz w:val="24"/>
          <w:szCs w:val="24"/>
        </w:rPr>
        <w:t>0</w:t>
      </w:r>
      <w:r w:rsidRPr="00A019E1">
        <w:rPr>
          <w:rFonts w:ascii="Times New Roman" w:hAnsi="Times New Roman" w:cs="Times New Roman"/>
          <w:sz w:val="24"/>
          <w:szCs w:val="24"/>
        </w:rPr>
        <w:t xml:space="preserve">% of the studies it was not specified. Further, about </w:t>
      </w:r>
      <w:r w:rsidR="0058182F">
        <w:rPr>
          <w:rFonts w:ascii="Times New Roman" w:hAnsi="Times New Roman" w:cs="Times New Roman"/>
          <w:sz w:val="24"/>
          <w:szCs w:val="24"/>
        </w:rPr>
        <w:t>16</w:t>
      </w:r>
      <w:r w:rsidRPr="00A019E1">
        <w:rPr>
          <w:rFonts w:ascii="Times New Roman" w:hAnsi="Times New Roman" w:cs="Times New Roman"/>
          <w:sz w:val="24"/>
          <w:szCs w:val="24"/>
        </w:rPr>
        <w:t xml:space="preserve">% of the studies implicitly accounted for spatial targeting of ecological attributes on private land either by ensuring siting arrangements during bidding or a map was provided to participants to encourage coordination between neighbouring land parcels. </w:t>
      </w:r>
    </w:p>
    <w:p w14:paraId="06668B3B" w14:textId="77777777" w:rsidR="00A019E1" w:rsidRPr="00A019E1" w:rsidRDefault="00A019E1" w:rsidP="00A019E1">
      <w:pPr>
        <w:spacing w:line="360" w:lineRule="auto"/>
        <w:jc w:val="both"/>
        <w:rPr>
          <w:rFonts w:ascii="Times New Roman" w:hAnsi="Times New Roman" w:cs="Times New Roman"/>
          <w:sz w:val="24"/>
          <w:szCs w:val="24"/>
        </w:rPr>
      </w:pPr>
    </w:p>
    <w:p w14:paraId="26F81BF8" w14:textId="77777777" w:rsidR="00A019E1" w:rsidRPr="00A019E1" w:rsidRDefault="00A019E1" w:rsidP="00A019E1">
      <w:pPr>
        <w:spacing w:line="360" w:lineRule="auto"/>
        <w:jc w:val="both"/>
        <w:rPr>
          <w:rFonts w:ascii="Times New Roman" w:hAnsi="Times New Roman" w:cs="Times New Roman"/>
          <w:sz w:val="24"/>
          <w:szCs w:val="24"/>
        </w:rPr>
      </w:pPr>
    </w:p>
    <w:p w14:paraId="1755C227" w14:textId="77777777" w:rsidR="00A019E1" w:rsidRPr="00A019E1" w:rsidRDefault="00A019E1" w:rsidP="00A019E1">
      <w:pPr>
        <w:spacing w:line="360" w:lineRule="auto"/>
        <w:jc w:val="both"/>
        <w:rPr>
          <w:rFonts w:ascii="Times New Roman" w:hAnsi="Times New Roman" w:cs="Times New Roman"/>
          <w:sz w:val="24"/>
          <w:szCs w:val="24"/>
        </w:rPr>
      </w:pPr>
    </w:p>
    <w:p w14:paraId="50060977" w14:textId="77777777" w:rsidR="00A019E1" w:rsidRPr="00A019E1" w:rsidRDefault="00A019E1" w:rsidP="00A019E1">
      <w:pPr>
        <w:spacing w:line="360" w:lineRule="auto"/>
        <w:jc w:val="both"/>
        <w:rPr>
          <w:rFonts w:ascii="Times New Roman" w:hAnsi="Times New Roman" w:cs="Times New Roman"/>
          <w:sz w:val="24"/>
          <w:szCs w:val="24"/>
        </w:rPr>
      </w:pPr>
    </w:p>
    <w:p w14:paraId="12A5F605" w14:textId="77777777" w:rsidR="00A019E1" w:rsidRPr="00A019E1" w:rsidRDefault="00A019E1" w:rsidP="00A019E1">
      <w:pPr>
        <w:spacing w:line="360" w:lineRule="auto"/>
        <w:jc w:val="both"/>
        <w:rPr>
          <w:rFonts w:ascii="Times New Roman" w:hAnsi="Times New Roman" w:cs="Times New Roman"/>
          <w:sz w:val="24"/>
          <w:szCs w:val="24"/>
        </w:rPr>
      </w:pPr>
    </w:p>
    <w:p w14:paraId="71D135F3" w14:textId="77777777" w:rsidR="007853F0" w:rsidRPr="00A019E1" w:rsidRDefault="007853F0" w:rsidP="00A019E1">
      <w:pPr>
        <w:spacing w:line="360" w:lineRule="auto"/>
        <w:jc w:val="both"/>
        <w:rPr>
          <w:rFonts w:ascii="Times New Roman" w:hAnsi="Times New Roman" w:cs="Times New Roman"/>
          <w:sz w:val="24"/>
          <w:szCs w:val="24"/>
        </w:rPr>
      </w:pPr>
    </w:p>
    <w:p w14:paraId="50DAED3C" w14:textId="77777777" w:rsidR="00A019E1" w:rsidRPr="00A019E1" w:rsidRDefault="00A019E1" w:rsidP="00A019E1">
      <w:pPr>
        <w:spacing w:line="360" w:lineRule="auto"/>
        <w:jc w:val="both"/>
        <w:rPr>
          <w:rFonts w:ascii="Times New Roman" w:hAnsi="Times New Roman" w:cs="Times New Roman"/>
          <w:sz w:val="24"/>
          <w:szCs w:val="24"/>
        </w:rPr>
      </w:pPr>
      <w:r w:rsidRPr="00A019E1">
        <w:rPr>
          <w:rFonts w:ascii="Times New Roman" w:hAnsi="Times New Roman" w:cs="Times New Roman"/>
          <w:noProof/>
          <w:sz w:val="24"/>
          <w:szCs w:val="24"/>
          <w:lang w:eastAsia="en-GB"/>
        </w:rPr>
        <w:lastRenderedPageBreak/>
        <mc:AlternateContent>
          <mc:Choice Requires="wpg">
            <w:drawing>
              <wp:anchor distT="0" distB="0" distL="114300" distR="114300" simplePos="0" relativeHeight="251680768" behindDoc="0" locked="0" layoutInCell="1" allowOverlap="1" wp14:anchorId="1F7A9404" wp14:editId="3C8D2503">
                <wp:simplePos x="0" y="0"/>
                <wp:positionH relativeFrom="margin">
                  <wp:align>center</wp:align>
                </wp:positionH>
                <wp:positionV relativeFrom="paragraph">
                  <wp:posOffset>83404</wp:posOffset>
                </wp:positionV>
                <wp:extent cx="6231752" cy="6631200"/>
                <wp:effectExtent l="0" t="0" r="17145" b="17780"/>
                <wp:wrapNone/>
                <wp:docPr id="27" name="Group 27"/>
                <wp:cNvGraphicFramePr/>
                <a:graphic xmlns:a="http://schemas.openxmlformats.org/drawingml/2006/main">
                  <a:graphicData uri="http://schemas.microsoft.com/office/word/2010/wordprocessingGroup">
                    <wpg:wgp>
                      <wpg:cNvGrpSpPr/>
                      <wpg:grpSpPr>
                        <a:xfrm>
                          <a:off x="0" y="0"/>
                          <a:ext cx="6231752" cy="6631200"/>
                          <a:chOff x="0" y="1"/>
                          <a:chExt cx="6231752" cy="6881252"/>
                        </a:xfrm>
                      </wpg:grpSpPr>
                      <wps:wsp>
                        <wps:cNvPr id="28" name="Rectangle: Rounded Corners 28"/>
                        <wps:cNvSpPr/>
                        <wps:spPr>
                          <a:xfrm>
                            <a:off x="0" y="1"/>
                            <a:ext cx="6231752" cy="6881252"/>
                          </a:xfrm>
                          <a:prstGeom prst="roundRect">
                            <a:avLst>
                              <a:gd name="adj" fmla="val 6220"/>
                            </a:avLst>
                          </a:prstGeom>
                          <a:solidFill>
                            <a:sysClr val="window" lastClr="FFFFFF"/>
                          </a:solidFill>
                          <a:ln w="12700" cap="flat" cmpd="sng" algn="ctr">
                            <a:solidFill>
                              <a:srgbClr val="E7E6E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Rounded Corners 29"/>
                        <wps:cNvSpPr/>
                        <wps:spPr>
                          <a:xfrm>
                            <a:off x="152400" y="272143"/>
                            <a:ext cx="3053378" cy="761312"/>
                          </a:xfrm>
                          <a:prstGeom prst="roundRect">
                            <a:avLst/>
                          </a:prstGeom>
                          <a:solidFill>
                            <a:sysClr val="window" lastClr="FFFFFF"/>
                          </a:solidFill>
                          <a:ln w="3175" cap="flat" cmpd="sng" algn="ctr">
                            <a:solidFill>
                              <a:srgbClr val="92D050"/>
                            </a:solidFill>
                            <a:prstDash val="solid"/>
                            <a:miter lim="800000"/>
                          </a:ln>
                          <a:effectLst/>
                        </wps:spPr>
                        <wps:txbx>
                          <w:txbxContent>
                            <w:p w14:paraId="44CB893B" w14:textId="77777777" w:rsidR="00A019E1" w:rsidRPr="00C9393A" w:rsidRDefault="00A019E1" w:rsidP="00A019E1">
                              <w:pPr>
                                <w:jc w:val="center"/>
                                <w:rPr>
                                  <w:rFonts w:ascii="Times New Roman" w:hAnsi="Times New Roman" w:cs="Times New Roman"/>
                                  <w:sz w:val="24"/>
                                  <w:szCs w:val="24"/>
                                </w:rPr>
                              </w:pPr>
                              <w:r w:rsidRPr="00C9393A">
                                <w:rPr>
                                  <w:rFonts w:ascii="Times New Roman" w:hAnsi="Times New Roman" w:cs="Times New Roman"/>
                                  <w:sz w:val="24"/>
                                  <w:szCs w:val="24"/>
                                </w:rPr>
                                <w:t>Total number of articles</w:t>
                              </w:r>
                              <w:r>
                                <w:rPr>
                                  <w:rFonts w:ascii="Times New Roman" w:hAnsi="Times New Roman" w:cs="Times New Roman"/>
                                  <w:sz w:val="24"/>
                                  <w:szCs w:val="24"/>
                                </w:rPr>
                                <w:t xml:space="preserve"> identified after using our search terms</w:t>
                              </w:r>
                              <w:r w:rsidRPr="00C9393A">
                                <w:rPr>
                                  <w:rFonts w:ascii="Times New Roman" w:hAnsi="Times New Roman" w:cs="Times New Roman"/>
                                  <w:sz w:val="24"/>
                                  <w:szCs w:val="24"/>
                                </w:rPr>
                                <w:t xml:space="preserve"> (n = </w:t>
                              </w:r>
                              <w:r>
                                <w:rPr>
                                  <w:rFonts w:ascii="Times New Roman" w:hAnsi="Times New Roman" w:cs="Times New Roman"/>
                                  <w:sz w:val="24"/>
                                  <w:szCs w:val="24"/>
                                </w:rPr>
                                <w:t>2038</w:t>
                              </w:r>
                              <w:r w:rsidRPr="00C9393A">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Rounded Corners 30"/>
                        <wps:cNvSpPr/>
                        <wps:spPr>
                          <a:xfrm>
                            <a:off x="228600" y="2644805"/>
                            <a:ext cx="2995756" cy="1175657"/>
                          </a:xfrm>
                          <a:prstGeom prst="roundRect">
                            <a:avLst/>
                          </a:prstGeom>
                          <a:solidFill>
                            <a:sysClr val="window" lastClr="FFFFFF"/>
                          </a:solidFill>
                          <a:ln w="3175" cap="flat" cmpd="sng" algn="ctr">
                            <a:solidFill>
                              <a:srgbClr val="92D050"/>
                            </a:solidFill>
                            <a:prstDash val="solid"/>
                            <a:miter lim="800000"/>
                          </a:ln>
                          <a:effectLst/>
                        </wps:spPr>
                        <wps:txbx>
                          <w:txbxContent>
                            <w:p w14:paraId="2999A873" w14:textId="77777777" w:rsidR="00A019E1" w:rsidRPr="00C9393A" w:rsidRDefault="00A019E1" w:rsidP="00A019E1">
                              <w:pPr>
                                <w:jc w:val="center"/>
                                <w:rPr>
                                  <w:rFonts w:ascii="Times New Roman" w:hAnsi="Times New Roman" w:cs="Times New Roman"/>
                                  <w:sz w:val="24"/>
                                  <w:szCs w:val="24"/>
                                </w:rPr>
                              </w:pPr>
                              <w:r w:rsidRPr="00C9393A">
                                <w:rPr>
                                  <w:rFonts w:ascii="Times New Roman" w:hAnsi="Times New Roman" w:cs="Times New Roman"/>
                                  <w:sz w:val="24"/>
                                  <w:szCs w:val="24"/>
                                </w:rPr>
                                <w:t>Articles selected after removal of duplicates, commentaries, books and book chapters</w:t>
                              </w:r>
                              <w:r>
                                <w:rPr>
                                  <w:rFonts w:ascii="Times New Roman" w:hAnsi="Times New Roman" w:cs="Times New Roman"/>
                                  <w:sz w:val="24"/>
                                  <w:szCs w:val="24"/>
                                </w:rPr>
                                <w:t>, and those with no link or mention of conservation auctions</w:t>
                              </w:r>
                              <w:r w:rsidRPr="00C9393A">
                                <w:rPr>
                                  <w:rFonts w:ascii="Times New Roman" w:hAnsi="Times New Roman" w:cs="Times New Roman"/>
                                  <w:sz w:val="24"/>
                                  <w:szCs w:val="24"/>
                                </w:rPr>
                                <w:t xml:space="preserve"> (n = </w:t>
                              </w:r>
                              <w:r w:rsidRPr="00C55495">
                                <w:rPr>
                                  <w:rFonts w:ascii="Times New Roman" w:eastAsia="Times New Roman" w:hAnsi="Times New Roman" w:cs="Times New Roman"/>
                                  <w:sz w:val="24"/>
                                  <w:szCs w:val="24"/>
                                  <w:lang w:eastAsia="en-GB"/>
                                </w:rPr>
                                <w:t>1</w:t>
                              </w:r>
                              <w:r>
                                <w:rPr>
                                  <w:rFonts w:ascii="Times New Roman" w:eastAsia="Times New Roman" w:hAnsi="Times New Roman" w:cs="Times New Roman"/>
                                  <w:sz w:val="24"/>
                                  <w:szCs w:val="24"/>
                                  <w:lang w:eastAsia="en-GB"/>
                                </w:rPr>
                                <w:t>5</w:t>
                              </w:r>
                              <w:r w:rsidRPr="00C55495">
                                <w:rPr>
                                  <w:rFonts w:ascii="Times New Roman" w:eastAsia="Times New Roman" w:hAnsi="Times New Roman" w:cs="Times New Roman"/>
                                  <w:sz w:val="24"/>
                                  <w:szCs w:val="24"/>
                                  <w:lang w:eastAsia="en-GB"/>
                                </w:rPr>
                                <w:t>5</w:t>
                              </w:r>
                              <w:r w:rsidRPr="00C9393A">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3757176" y="929080"/>
                            <a:ext cx="2331192" cy="1053425"/>
                          </a:xfrm>
                          <a:prstGeom prst="rect">
                            <a:avLst/>
                          </a:prstGeom>
                          <a:solidFill>
                            <a:sysClr val="window" lastClr="FFFFFF"/>
                          </a:solidFill>
                          <a:ln w="3175" cap="flat" cmpd="sng" algn="ctr">
                            <a:solidFill>
                              <a:srgbClr val="ED7D31">
                                <a:lumMod val="40000"/>
                                <a:lumOff val="60000"/>
                              </a:srgbClr>
                            </a:solidFill>
                            <a:prstDash val="sysDash"/>
                            <a:miter lim="800000"/>
                          </a:ln>
                          <a:effectLst/>
                        </wps:spPr>
                        <wps:txbx>
                          <w:txbxContent>
                            <w:p w14:paraId="59CF8244" w14:textId="77777777" w:rsidR="00A019E1" w:rsidRPr="00C9393A" w:rsidRDefault="00A019E1" w:rsidP="00A019E1">
                              <w:pPr>
                                <w:spacing w:line="276" w:lineRule="auto"/>
                                <w:rPr>
                                  <w:rFonts w:ascii="Times New Roman" w:hAnsi="Times New Roman" w:cs="Times New Roman"/>
                                  <w:sz w:val="24"/>
                                  <w:szCs w:val="24"/>
                                </w:rPr>
                              </w:pPr>
                              <w:r w:rsidRPr="00C9393A">
                                <w:rPr>
                                  <w:rFonts w:ascii="Times New Roman" w:hAnsi="Times New Roman" w:cs="Times New Roman"/>
                                  <w:sz w:val="24"/>
                                  <w:szCs w:val="24"/>
                                </w:rPr>
                                <w:t xml:space="preserve">Articles (n = </w:t>
                              </w:r>
                              <w:r>
                                <w:rPr>
                                  <w:rFonts w:ascii="Times New Roman" w:hAnsi="Times New Roman" w:cs="Times New Roman"/>
                                  <w:sz w:val="24"/>
                                  <w:szCs w:val="24"/>
                                </w:rPr>
                                <w:t>1403</w:t>
                              </w:r>
                              <w:r w:rsidRPr="00C9393A">
                                <w:rPr>
                                  <w:rFonts w:ascii="Times New Roman" w:hAnsi="Times New Roman" w:cs="Times New Roman"/>
                                  <w:sz w:val="24"/>
                                  <w:szCs w:val="24"/>
                                </w:rPr>
                                <w:t xml:space="preserve">) were excluded </w:t>
                              </w:r>
                              <w:r>
                                <w:rPr>
                                  <w:rFonts w:ascii="Times New Roman" w:hAnsi="Times New Roman" w:cs="Times New Roman"/>
                                  <w:sz w:val="24"/>
                                  <w:szCs w:val="24"/>
                                </w:rPr>
                                <w:t>because they had no link to agri-environment schemes or payment for ecosystem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Arrow: Down 32"/>
                        <wps:cNvSpPr/>
                        <wps:spPr>
                          <a:xfrm>
                            <a:off x="1673678" y="1045029"/>
                            <a:ext cx="107501" cy="324556"/>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Arrow: Down 36"/>
                        <wps:cNvSpPr/>
                        <wps:spPr>
                          <a:xfrm>
                            <a:off x="1630135" y="3820886"/>
                            <a:ext cx="115885" cy="36703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Rounded Corners 38"/>
                        <wps:cNvSpPr/>
                        <wps:spPr>
                          <a:xfrm>
                            <a:off x="174171" y="4212772"/>
                            <a:ext cx="3061191" cy="991241"/>
                          </a:xfrm>
                          <a:prstGeom prst="roundRect">
                            <a:avLst/>
                          </a:prstGeom>
                          <a:solidFill>
                            <a:sysClr val="window" lastClr="FFFFFF"/>
                          </a:solidFill>
                          <a:ln w="3175" cap="flat" cmpd="sng" algn="ctr">
                            <a:solidFill>
                              <a:srgbClr val="92D050"/>
                            </a:solidFill>
                            <a:prstDash val="solid"/>
                            <a:miter lim="800000"/>
                          </a:ln>
                          <a:effectLst/>
                        </wps:spPr>
                        <wps:txbx>
                          <w:txbxContent>
                            <w:p w14:paraId="14C64472" w14:textId="77777777" w:rsidR="00A019E1" w:rsidRPr="00C9393A" w:rsidRDefault="00A019E1" w:rsidP="00A019E1">
                              <w:pPr>
                                <w:jc w:val="center"/>
                                <w:rPr>
                                  <w:rFonts w:ascii="Times New Roman" w:hAnsi="Times New Roman" w:cs="Times New Roman"/>
                                  <w:sz w:val="24"/>
                                  <w:szCs w:val="24"/>
                                </w:rPr>
                              </w:pPr>
                              <w:r>
                                <w:rPr>
                                  <w:rFonts w:ascii="Times New Roman" w:hAnsi="Times New Roman" w:cs="Times New Roman"/>
                                  <w:sz w:val="24"/>
                                  <w:szCs w:val="24"/>
                                </w:rPr>
                                <w:t xml:space="preserve">Exlusion of articles with no mention or indication of bidding in PES or auctions in titles and abstracts </w:t>
                              </w:r>
                              <w:r w:rsidRPr="00C9393A">
                                <w:rPr>
                                  <w:rFonts w:ascii="Times New Roman" w:hAnsi="Times New Roman" w:cs="Times New Roman"/>
                                  <w:sz w:val="24"/>
                                  <w:szCs w:val="24"/>
                                </w:rPr>
                                <w:t xml:space="preserve">(n = </w:t>
                              </w:r>
                              <w:r>
                                <w:rPr>
                                  <w:rFonts w:ascii="Times New Roman" w:hAnsi="Times New Roman" w:cs="Times New Roman"/>
                                  <w:sz w:val="24"/>
                                  <w:szCs w:val="24"/>
                                </w:rPr>
                                <w:t>101</w:t>
                              </w:r>
                              <w:r w:rsidRPr="00C9393A">
                                <w:rPr>
                                  <w:rFonts w:ascii="Times New Roman" w:hAnsi="Times New Roman" w:cs="Times New Roman"/>
                                  <w:sz w:val="24"/>
                                  <w:szCs w:val="24"/>
                                </w:rPr>
                                <w:t>)</w:t>
                              </w:r>
                            </w:p>
                            <w:p w14:paraId="153C7AA5" w14:textId="77777777" w:rsidR="00A019E1" w:rsidRDefault="00A019E1" w:rsidP="00A019E1">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3776989" y="3115243"/>
                            <a:ext cx="2298691" cy="3526143"/>
                          </a:xfrm>
                          <a:prstGeom prst="rect">
                            <a:avLst/>
                          </a:prstGeom>
                          <a:solidFill>
                            <a:sysClr val="window" lastClr="FFFFFF"/>
                          </a:solidFill>
                          <a:ln w="3175" cap="flat" cmpd="sng" algn="ctr">
                            <a:solidFill>
                              <a:srgbClr val="ED7D31">
                                <a:lumMod val="40000"/>
                                <a:lumOff val="60000"/>
                              </a:srgbClr>
                            </a:solidFill>
                            <a:prstDash val="sysDash"/>
                            <a:miter lim="800000"/>
                          </a:ln>
                          <a:effectLst/>
                        </wps:spPr>
                        <wps:txbx>
                          <w:txbxContent>
                            <w:p w14:paraId="6062872B" w14:textId="77777777" w:rsidR="00A019E1" w:rsidRDefault="00A019E1" w:rsidP="00A019E1">
                              <w:pPr>
                                <w:spacing w:line="276" w:lineRule="auto"/>
                                <w:rPr>
                                  <w:rFonts w:ascii="Times New Roman" w:hAnsi="Times New Roman" w:cs="Times New Roman"/>
                                  <w:sz w:val="24"/>
                                  <w:szCs w:val="24"/>
                                </w:rPr>
                              </w:pPr>
                              <w:r>
                                <w:rPr>
                                  <w:rFonts w:ascii="Times New Roman" w:hAnsi="Times New Roman" w:cs="Times New Roman"/>
                                  <w:sz w:val="24"/>
                                  <w:szCs w:val="24"/>
                                </w:rPr>
                                <w:t xml:space="preserve">Full text articles were excluded </w:t>
                              </w:r>
                              <w:r w:rsidRPr="00B060F9">
                                <w:rPr>
                                  <w:rFonts w:ascii="Times New Roman" w:hAnsi="Times New Roman" w:cs="Times New Roman"/>
                                  <w:sz w:val="24"/>
                                  <w:szCs w:val="24"/>
                                </w:rPr>
                                <w:t xml:space="preserve">because: </w:t>
                              </w:r>
                            </w:p>
                            <w:p w14:paraId="3EE865F8" w14:textId="77777777" w:rsidR="00A019E1" w:rsidRDefault="00A019E1" w:rsidP="00A019E1">
                              <w:pPr>
                                <w:pStyle w:val="ListParagraph"/>
                                <w:numPr>
                                  <w:ilvl w:val="0"/>
                                  <w:numId w:val="23"/>
                                </w:numPr>
                                <w:spacing w:line="276" w:lineRule="auto"/>
                                <w:rPr>
                                  <w:rFonts w:ascii="Times New Roman" w:hAnsi="Times New Roman" w:cs="Times New Roman"/>
                                  <w:sz w:val="24"/>
                                  <w:szCs w:val="24"/>
                                </w:rPr>
                              </w:pPr>
                              <w:r>
                                <w:rPr>
                                  <w:rFonts w:ascii="Times New Roman" w:hAnsi="Times New Roman" w:cs="Times New Roman"/>
                                  <w:sz w:val="24"/>
                                  <w:szCs w:val="24"/>
                                </w:rPr>
                                <w:t>Data was collected from experiments not involving human subjects or</w:t>
                              </w:r>
                            </w:p>
                            <w:p w14:paraId="749CC3C4" w14:textId="77777777" w:rsidR="00A019E1" w:rsidRDefault="00A019E1" w:rsidP="00A019E1">
                              <w:pPr>
                                <w:pStyle w:val="ListParagraph"/>
                                <w:numPr>
                                  <w:ilvl w:val="0"/>
                                  <w:numId w:val="23"/>
                                </w:numPr>
                                <w:spacing w:line="276" w:lineRule="auto"/>
                                <w:rPr>
                                  <w:rFonts w:ascii="Times New Roman" w:hAnsi="Times New Roman" w:cs="Times New Roman"/>
                                  <w:sz w:val="24"/>
                                  <w:szCs w:val="24"/>
                                </w:rPr>
                              </w:pPr>
                              <w:r>
                                <w:rPr>
                                  <w:rFonts w:ascii="Times New Roman" w:hAnsi="Times New Roman" w:cs="Times New Roman"/>
                                  <w:sz w:val="24"/>
                                  <w:szCs w:val="24"/>
                                </w:rPr>
                                <w:t>Had theoretical and hypothetical subjects or</w:t>
                              </w:r>
                            </w:p>
                            <w:p w14:paraId="3D0F2CE4" w14:textId="77777777" w:rsidR="00A019E1" w:rsidRDefault="00A019E1" w:rsidP="00A019E1">
                              <w:pPr>
                                <w:pStyle w:val="ListParagraph"/>
                                <w:numPr>
                                  <w:ilvl w:val="0"/>
                                  <w:numId w:val="23"/>
                                </w:numPr>
                                <w:spacing w:line="276" w:lineRule="auto"/>
                                <w:rPr>
                                  <w:rFonts w:ascii="Times New Roman" w:hAnsi="Times New Roman" w:cs="Times New Roman"/>
                                  <w:sz w:val="24"/>
                                  <w:szCs w:val="24"/>
                                </w:rPr>
                              </w:pPr>
                              <w:r w:rsidRPr="00617D38">
                                <w:rPr>
                                  <w:rFonts w:ascii="Times New Roman" w:hAnsi="Times New Roman" w:cs="Times New Roman"/>
                                  <w:sz w:val="24"/>
                                  <w:szCs w:val="24"/>
                                </w:rPr>
                                <w:t xml:space="preserve">Had no mention of factors influencing </w:t>
                              </w:r>
                              <w:r>
                                <w:rPr>
                                  <w:rFonts w:ascii="Times New Roman" w:hAnsi="Times New Roman" w:cs="Times New Roman"/>
                                  <w:sz w:val="24"/>
                                  <w:szCs w:val="24"/>
                                </w:rPr>
                                <w:t xml:space="preserve">bidder </w:t>
                              </w:r>
                              <w:r w:rsidRPr="00617D38">
                                <w:rPr>
                                  <w:rFonts w:ascii="Times New Roman" w:hAnsi="Times New Roman" w:cs="Times New Roman"/>
                                  <w:sz w:val="24"/>
                                  <w:szCs w:val="24"/>
                                </w:rPr>
                                <w:t xml:space="preserve">participation </w:t>
                              </w:r>
                              <w:r>
                                <w:rPr>
                                  <w:rFonts w:ascii="Times New Roman" w:hAnsi="Times New Roman" w:cs="Times New Roman"/>
                                  <w:sz w:val="24"/>
                                  <w:szCs w:val="24"/>
                                </w:rPr>
                                <w:t xml:space="preserve">or </w:t>
                              </w:r>
                            </w:p>
                            <w:p w14:paraId="0A39F5E2" w14:textId="77777777" w:rsidR="00A019E1" w:rsidRPr="00617D38" w:rsidRDefault="00A019E1" w:rsidP="00A019E1">
                              <w:pPr>
                                <w:pStyle w:val="ListParagraph"/>
                                <w:numPr>
                                  <w:ilvl w:val="0"/>
                                  <w:numId w:val="23"/>
                                </w:numPr>
                                <w:spacing w:line="276" w:lineRule="auto"/>
                                <w:rPr>
                                  <w:rFonts w:ascii="Times New Roman" w:hAnsi="Times New Roman" w:cs="Times New Roman"/>
                                  <w:sz w:val="24"/>
                                  <w:szCs w:val="24"/>
                                </w:rPr>
                              </w:pPr>
                              <w:r>
                                <w:rPr>
                                  <w:rFonts w:ascii="Times New Roman" w:hAnsi="Times New Roman" w:cs="Times New Roman"/>
                                  <w:sz w:val="24"/>
                                  <w:szCs w:val="24"/>
                                </w:rPr>
                                <w:t>Had no mention or indication of a potential bidder and an auctioneer or bidding process in PES market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Arrow: Down 40"/>
                        <wps:cNvSpPr/>
                        <wps:spPr>
                          <a:xfrm>
                            <a:off x="1630135" y="5203372"/>
                            <a:ext cx="129540" cy="33210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Rounded Corners 41"/>
                        <wps:cNvSpPr/>
                        <wps:spPr>
                          <a:xfrm>
                            <a:off x="174171" y="5529943"/>
                            <a:ext cx="3045648" cy="860612"/>
                          </a:xfrm>
                          <a:prstGeom prst="roundRect">
                            <a:avLst/>
                          </a:prstGeom>
                          <a:solidFill>
                            <a:sysClr val="window" lastClr="FFFFFF"/>
                          </a:solidFill>
                          <a:ln w="3175" cap="flat" cmpd="sng" algn="ctr">
                            <a:solidFill>
                              <a:srgbClr val="92D050"/>
                            </a:solidFill>
                            <a:prstDash val="solid"/>
                            <a:miter lim="800000"/>
                          </a:ln>
                          <a:effectLst/>
                        </wps:spPr>
                        <wps:txbx>
                          <w:txbxContent>
                            <w:p w14:paraId="7ED6C1E0" w14:textId="77777777" w:rsidR="00A019E1" w:rsidRPr="00D3080D" w:rsidRDefault="00A019E1" w:rsidP="00A019E1">
                              <w:pPr>
                                <w:jc w:val="center"/>
                                <w:rPr>
                                  <w:rFonts w:ascii="Times New Roman" w:hAnsi="Times New Roman" w:cs="Times New Roman"/>
                                  <w:sz w:val="24"/>
                                  <w:szCs w:val="24"/>
                                </w:rPr>
                              </w:pPr>
                              <w:r w:rsidRPr="00D3080D">
                                <w:rPr>
                                  <w:rFonts w:ascii="Times New Roman" w:hAnsi="Times New Roman" w:cs="Times New Roman"/>
                                  <w:sz w:val="24"/>
                                  <w:szCs w:val="24"/>
                                </w:rPr>
                                <w:t xml:space="preserve">Full-text screening and </w:t>
                              </w:r>
                              <w:r>
                                <w:rPr>
                                  <w:rFonts w:ascii="Times New Roman" w:hAnsi="Times New Roman" w:cs="Times New Roman"/>
                                  <w:sz w:val="24"/>
                                  <w:szCs w:val="24"/>
                                </w:rPr>
                                <w:t xml:space="preserve">number of studies involving laboratory or field experiments with human subjects </w:t>
                              </w:r>
                              <w:r w:rsidRPr="00D3080D">
                                <w:rPr>
                                  <w:rFonts w:ascii="Times New Roman" w:hAnsi="Times New Roman" w:cs="Times New Roman"/>
                                  <w:sz w:val="24"/>
                                  <w:szCs w:val="24"/>
                                </w:rPr>
                                <w:t xml:space="preserve">(n = </w:t>
                              </w:r>
                              <w:r>
                                <w:rPr>
                                  <w:rFonts w:ascii="Times New Roman" w:hAnsi="Times New Roman" w:cs="Times New Roman"/>
                                  <w:sz w:val="24"/>
                                  <w:szCs w:val="24"/>
                                </w:rPr>
                                <w:t>51</w:t>
                              </w:r>
                              <w:r w:rsidRPr="00D3080D">
                                <w:rPr>
                                  <w:rFonts w:ascii="Times New Roman" w:hAnsi="Times New Roman" w:cs="Times New Roman"/>
                                  <w:sz w:val="24"/>
                                  <w:szCs w:val="24"/>
                                </w:rPr>
                                <w:t>)</w:t>
                              </w:r>
                            </w:p>
                            <w:p w14:paraId="0FD8B9D2" w14:textId="77777777" w:rsidR="00A019E1" w:rsidRDefault="00A019E1" w:rsidP="00A019E1">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Arrow: Right 42"/>
                        <wps:cNvSpPr/>
                        <wps:spPr>
                          <a:xfrm flipV="1">
                            <a:off x="3224614" y="5878117"/>
                            <a:ext cx="540986" cy="73158"/>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Rounded Corners 43"/>
                        <wps:cNvSpPr/>
                        <wps:spPr>
                          <a:xfrm>
                            <a:off x="174171" y="1382486"/>
                            <a:ext cx="3053378" cy="761312"/>
                          </a:xfrm>
                          <a:prstGeom prst="roundRect">
                            <a:avLst/>
                          </a:prstGeom>
                          <a:solidFill>
                            <a:sysClr val="window" lastClr="FFFFFF"/>
                          </a:solidFill>
                          <a:ln w="3175" cap="flat" cmpd="sng" algn="ctr">
                            <a:solidFill>
                              <a:srgbClr val="92D050"/>
                            </a:solidFill>
                            <a:prstDash val="solid"/>
                            <a:miter lim="800000"/>
                          </a:ln>
                          <a:effectLst/>
                        </wps:spPr>
                        <wps:txbx>
                          <w:txbxContent>
                            <w:p w14:paraId="0189CE8D" w14:textId="77777777" w:rsidR="00A019E1" w:rsidRPr="00C9393A" w:rsidRDefault="00A019E1" w:rsidP="00A019E1">
                              <w:pPr>
                                <w:jc w:val="center"/>
                                <w:rPr>
                                  <w:rFonts w:ascii="Times New Roman" w:hAnsi="Times New Roman" w:cs="Times New Roman"/>
                                  <w:sz w:val="24"/>
                                  <w:szCs w:val="24"/>
                                </w:rPr>
                              </w:pPr>
                              <w:r w:rsidRPr="00C9393A">
                                <w:rPr>
                                  <w:rFonts w:ascii="Times New Roman" w:hAnsi="Times New Roman" w:cs="Times New Roman"/>
                                  <w:sz w:val="24"/>
                                  <w:szCs w:val="24"/>
                                </w:rPr>
                                <w:t xml:space="preserve">Total number of </w:t>
                              </w:r>
                              <w:r>
                                <w:rPr>
                                  <w:rFonts w:ascii="Times New Roman" w:hAnsi="Times New Roman" w:cs="Times New Roman"/>
                                  <w:sz w:val="24"/>
                                  <w:szCs w:val="24"/>
                                </w:rPr>
                                <w:t xml:space="preserve">studies that had relevance to agri-environment schemes or payment for ecosystem services </w:t>
                              </w:r>
                              <w:r w:rsidRPr="00C9393A">
                                <w:rPr>
                                  <w:rFonts w:ascii="Times New Roman" w:hAnsi="Times New Roman" w:cs="Times New Roman"/>
                                  <w:sz w:val="24"/>
                                  <w:szCs w:val="24"/>
                                </w:rPr>
                                <w:t xml:space="preserve">(n = </w:t>
                              </w:r>
                              <w:r>
                                <w:rPr>
                                  <w:rFonts w:ascii="Times New Roman" w:hAnsi="Times New Roman" w:cs="Times New Roman"/>
                                  <w:sz w:val="24"/>
                                  <w:szCs w:val="24"/>
                                </w:rPr>
                                <w:t>635</w:t>
                              </w:r>
                              <w:r w:rsidRPr="00C9393A">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Arrow: Down 44"/>
                        <wps:cNvSpPr/>
                        <wps:spPr>
                          <a:xfrm>
                            <a:off x="1630135" y="2133600"/>
                            <a:ext cx="119263" cy="514831"/>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Arrow: Right 45"/>
                        <wps:cNvSpPr/>
                        <wps:spPr>
                          <a:xfrm rot="480000">
                            <a:off x="3234411" y="1631401"/>
                            <a:ext cx="519182" cy="91086"/>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F7A9404" id="Group 27" o:spid="_x0000_s1026" style="position:absolute;left:0;text-align:left;margin-left:0;margin-top:6.55pt;width:490.7pt;height:522.15pt;z-index:251680768;mso-position-horizontal:center;mso-position-horizontal-relative:margin;mso-height-relative:margin" coordorigin="" coordsize="62317,6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">
                <v:roundrect id="Rectangle: Rounded Corners 28" o:spid="_x0000_s1027" style="position:absolute;width:62317;height:68812;visibility:visible;mso-wrap-style:square;v-text-anchor:middle" arcsize="407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" fillcolor="window" strokecolor="#e7e6e6" strokeweight="1pt">
                  <v:stroke joinstyle="miter"/>
                </v:roundrect>
                <v:roundrect id="Rectangle: Rounded Corners 29" o:spid="_x0000_s1028" style="position:absolute;left:1524;top:2721;width:30533;height:76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" fillcolor="window" strokecolor="#92d050" strokeweight=".25pt">
                  <v:stroke joinstyle="miter"/>
                  <v:textbox>
                    <w:txbxContent>
                      <w:p w14:paraId="44CB893B" w14:textId="77777777" w:rsidR="00A019E1" w:rsidRPr="00C9393A" w:rsidRDefault="00A019E1" w:rsidP="00A019E1">
                        <w:pPr>
                          <w:jc w:val="center"/>
                          <w:rPr>
                            <w:rFonts w:ascii="Times New Roman" w:hAnsi="Times New Roman" w:cs="Times New Roman"/>
                            <w:sz w:val="24"/>
                            <w:szCs w:val="24"/>
                          </w:rPr>
                        </w:pPr>
                        <w:r w:rsidRPr="00C9393A">
                          <w:rPr>
                            <w:rFonts w:ascii="Times New Roman" w:hAnsi="Times New Roman" w:cs="Times New Roman"/>
                            <w:sz w:val="24"/>
                            <w:szCs w:val="24"/>
                          </w:rPr>
                          <w:t>Total number of articles</w:t>
                        </w:r>
                        <w:r>
                          <w:rPr>
                            <w:rFonts w:ascii="Times New Roman" w:hAnsi="Times New Roman" w:cs="Times New Roman"/>
                            <w:sz w:val="24"/>
                            <w:szCs w:val="24"/>
                          </w:rPr>
                          <w:t xml:space="preserve"> identified after using our search terms</w:t>
                        </w:r>
                        <w:r w:rsidRPr="00C9393A">
                          <w:rPr>
                            <w:rFonts w:ascii="Times New Roman" w:hAnsi="Times New Roman" w:cs="Times New Roman"/>
                            <w:sz w:val="24"/>
                            <w:szCs w:val="24"/>
                          </w:rPr>
                          <w:t xml:space="preserve"> (n = </w:t>
                        </w:r>
                        <w:r>
                          <w:rPr>
                            <w:rFonts w:ascii="Times New Roman" w:hAnsi="Times New Roman" w:cs="Times New Roman"/>
                            <w:sz w:val="24"/>
                            <w:szCs w:val="24"/>
                          </w:rPr>
                          <w:t>2038</w:t>
                        </w:r>
                        <w:r w:rsidRPr="00C9393A">
                          <w:rPr>
                            <w:rFonts w:ascii="Times New Roman" w:hAnsi="Times New Roman" w:cs="Times New Roman"/>
                            <w:sz w:val="24"/>
                            <w:szCs w:val="24"/>
                          </w:rPr>
                          <w:t>)</w:t>
                        </w:r>
                      </w:p>
                    </w:txbxContent>
                  </v:textbox>
                </v:roundrect>
                <v:roundrect id="Rectangle: Rounded Corners 30" o:spid="_x0000_s1029" style="position:absolute;left:2286;top:26448;width:29957;height:11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" fillcolor="window" strokecolor="#92d050" strokeweight=".25pt">
                  <v:stroke joinstyle="miter"/>
                  <v:textbox>
                    <w:txbxContent>
                      <w:p w14:paraId="2999A873" w14:textId="77777777" w:rsidR="00A019E1" w:rsidRPr="00C9393A" w:rsidRDefault="00A019E1" w:rsidP="00A019E1">
                        <w:pPr>
                          <w:jc w:val="center"/>
                          <w:rPr>
                            <w:rFonts w:ascii="Times New Roman" w:hAnsi="Times New Roman" w:cs="Times New Roman"/>
                            <w:sz w:val="24"/>
                            <w:szCs w:val="24"/>
                          </w:rPr>
                        </w:pPr>
                        <w:r w:rsidRPr="00C9393A">
                          <w:rPr>
                            <w:rFonts w:ascii="Times New Roman" w:hAnsi="Times New Roman" w:cs="Times New Roman"/>
                            <w:sz w:val="24"/>
                            <w:szCs w:val="24"/>
                          </w:rPr>
                          <w:t>Articles selected after removal of duplicates, commentaries, books and book chapters</w:t>
                        </w:r>
                        <w:r>
                          <w:rPr>
                            <w:rFonts w:ascii="Times New Roman" w:hAnsi="Times New Roman" w:cs="Times New Roman"/>
                            <w:sz w:val="24"/>
                            <w:szCs w:val="24"/>
                          </w:rPr>
                          <w:t>, and those with no link or mention of conservation auctions</w:t>
                        </w:r>
                        <w:r w:rsidRPr="00C9393A">
                          <w:rPr>
                            <w:rFonts w:ascii="Times New Roman" w:hAnsi="Times New Roman" w:cs="Times New Roman"/>
                            <w:sz w:val="24"/>
                            <w:szCs w:val="24"/>
                          </w:rPr>
                          <w:t xml:space="preserve"> (n = </w:t>
                        </w:r>
                        <w:r w:rsidRPr="00C55495">
                          <w:rPr>
                            <w:rFonts w:ascii="Times New Roman" w:eastAsia="Times New Roman" w:hAnsi="Times New Roman" w:cs="Times New Roman"/>
                            <w:sz w:val="24"/>
                            <w:szCs w:val="24"/>
                            <w:lang w:eastAsia="en-GB"/>
                          </w:rPr>
                          <w:t>1</w:t>
                        </w:r>
                        <w:r>
                          <w:rPr>
                            <w:rFonts w:ascii="Times New Roman" w:eastAsia="Times New Roman" w:hAnsi="Times New Roman" w:cs="Times New Roman"/>
                            <w:sz w:val="24"/>
                            <w:szCs w:val="24"/>
                            <w:lang w:eastAsia="en-GB"/>
                          </w:rPr>
                          <w:t>5</w:t>
                        </w:r>
                        <w:r w:rsidRPr="00C55495">
                          <w:rPr>
                            <w:rFonts w:ascii="Times New Roman" w:eastAsia="Times New Roman" w:hAnsi="Times New Roman" w:cs="Times New Roman"/>
                            <w:sz w:val="24"/>
                            <w:szCs w:val="24"/>
                            <w:lang w:eastAsia="en-GB"/>
                          </w:rPr>
                          <w:t>5</w:t>
                        </w:r>
                        <w:r w:rsidRPr="00C9393A">
                          <w:rPr>
                            <w:rFonts w:ascii="Times New Roman" w:hAnsi="Times New Roman" w:cs="Times New Roman"/>
                            <w:sz w:val="24"/>
                            <w:szCs w:val="24"/>
                          </w:rPr>
                          <w:t>)</w:t>
                        </w:r>
                      </w:p>
                    </w:txbxContent>
                  </v:textbox>
                </v:roundrect>
                <v:rect id="Rectangle 31" o:spid="_x0000_s1030" style="position:absolute;left:37571;top:9290;width:23312;height:10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" fillcolor="window" strokecolor="#f8cbad" strokeweight=".25pt">
                  <v:stroke dashstyle="3 1"/>
                  <v:textbox>
                    <w:txbxContent>
                      <w:p w14:paraId="59CF8244" w14:textId="77777777" w:rsidR="00A019E1" w:rsidRPr="00C9393A" w:rsidRDefault="00A019E1" w:rsidP="00A019E1">
                        <w:pPr>
                          <w:spacing w:line="276" w:lineRule="auto"/>
                          <w:rPr>
                            <w:rFonts w:ascii="Times New Roman" w:hAnsi="Times New Roman" w:cs="Times New Roman"/>
                            <w:sz w:val="24"/>
                            <w:szCs w:val="24"/>
                          </w:rPr>
                        </w:pPr>
                        <w:r w:rsidRPr="00C9393A">
                          <w:rPr>
                            <w:rFonts w:ascii="Times New Roman" w:hAnsi="Times New Roman" w:cs="Times New Roman"/>
                            <w:sz w:val="24"/>
                            <w:szCs w:val="24"/>
                          </w:rPr>
                          <w:t xml:space="preserve">Articles (n = </w:t>
                        </w:r>
                        <w:r>
                          <w:rPr>
                            <w:rFonts w:ascii="Times New Roman" w:hAnsi="Times New Roman" w:cs="Times New Roman"/>
                            <w:sz w:val="24"/>
                            <w:szCs w:val="24"/>
                          </w:rPr>
                          <w:t>1403</w:t>
                        </w:r>
                        <w:r w:rsidRPr="00C9393A">
                          <w:rPr>
                            <w:rFonts w:ascii="Times New Roman" w:hAnsi="Times New Roman" w:cs="Times New Roman"/>
                            <w:sz w:val="24"/>
                            <w:szCs w:val="24"/>
                          </w:rPr>
                          <w:t xml:space="preserve">) were excluded </w:t>
                        </w:r>
                        <w:r>
                          <w:rPr>
                            <w:rFonts w:ascii="Times New Roman" w:hAnsi="Times New Roman" w:cs="Times New Roman"/>
                            <w:sz w:val="24"/>
                            <w:szCs w:val="24"/>
                          </w:rPr>
                          <w:t>because they had no link to agri-environment schemes or payment for ecosystem services</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2" o:spid="_x0000_s1031" type="#_x0000_t67" style="position:absolute;left:16736;top:10450;width:1075;height:3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" adj="18023" fillcolor="windowText" strokeweight="1pt"/>
                <v:shape id="Arrow: Down 36" o:spid="_x0000_s1032" type="#_x0000_t67" style="position:absolute;left:16301;top:38208;width:1159;height:3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" adj="18190" fillcolor="windowText" strokeweight="1pt"/>
                <v:roundrect id="Rectangle: Rounded Corners 38" o:spid="_x0000_s1033" style="position:absolute;left:1741;top:42127;width:30612;height:99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" fillcolor="window" strokecolor="#92d050" strokeweight=".25pt">
                  <v:stroke joinstyle="miter"/>
                  <v:textbox>
                    <w:txbxContent>
                      <w:p w14:paraId="14C64472" w14:textId="77777777" w:rsidR="00A019E1" w:rsidRPr="00C9393A" w:rsidRDefault="00A019E1" w:rsidP="00A019E1">
                        <w:pPr>
                          <w:jc w:val="center"/>
                          <w:rPr>
                            <w:rFonts w:ascii="Times New Roman" w:hAnsi="Times New Roman" w:cs="Times New Roman"/>
                            <w:sz w:val="24"/>
                            <w:szCs w:val="24"/>
                          </w:rPr>
                        </w:pPr>
                        <w:r>
                          <w:rPr>
                            <w:rFonts w:ascii="Times New Roman" w:hAnsi="Times New Roman" w:cs="Times New Roman"/>
                            <w:sz w:val="24"/>
                            <w:szCs w:val="24"/>
                          </w:rPr>
                          <w:t xml:space="preserve">Exlusion of articles with no mention or indication of bidding in PES or auctions in titles and abstracts </w:t>
                        </w:r>
                        <w:r w:rsidRPr="00C9393A">
                          <w:rPr>
                            <w:rFonts w:ascii="Times New Roman" w:hAnsi="Times New Roman" w:cs="Times New Roman"/>
                            <w:sz w:val="24"/>
                            <w:szCs w:val="24"/>
                          </w:rPr>
                          <w:t xml:space="preserve">(n = </w:t>
                        </w:r>
                        <w:r>
                          <w:rPr>
                            <w:rFonts w:ascii="Times New Roman" w:hAnsi="Times New Roman" w:cs="Times New Roman"/>
                            <w:sz w:val="24"/>
                            <w:szCs w:val="24"/>
                          </w:rPr>
                          <w:t>101</w:t>
                        </w:r>
                        <w:r w:rsidRPr="00C9393A">
                          <w:rPr>
                            <w:rFonts w:ascii="Times New Roman" w:hAnsi="Times New Roman" w:cs="Times New Roman"/>
                            <w:sz w:val="24"/>
                            <w:szCs w:val="24"/>
                          </w:rPr>
                          <w:t>)</w:t>
                        </w:r>
                      </w:p>
                      <w:p w14:paraId="153C7AA5" w14:textId="77777777" w:rsidR="00A019E1" w:rsidRDefault="00A019E1" w:rsidP="00A019E1">
                        <w:r>
                          <w:t xml:space="preserve">                                                              </w:t>
                        </w:r>
                      </w:p>
                    </w:txbxContent>
                  </v:textbox>
                </v:roundrect>
                <v:rect id="Rectangle 39" o:spid="_x0000_s1034" style="position:absolute;left:37769;top:31152;width:22987;height:35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" fillcolor="window" strokecolor="#f8cbad" strokeweight=".25pt">
                  <v:stroke dashstyle="3 1"/>
                  <v:textbox>
                    <w:txbxContent>
                      <w:p w14:paraId="6062872B" w14:textId="77777777" w:rsidR="00A019E1" w:rsidRDefault="00A019E1" w:rsidP="00A019E1">
                        <w:pPr>
                          <w:spacing w:line="276" w:lineRule="auto"/>
                          <w:rPr>
                            <w:rFonts w:ascii="Times New Roman" w:hAnsi="Times New Roman" w:cs="Times New Roman"/>
                            <w:sz w:val="24"/>
                            <w:szCs w:val="24"/>
                          </w:rPr>
                        </w:pPr>
                        <w:r>
                          <w:rPr>
                            <w:rFonts w:ascii="Times New Roman" w:hAnsi="Times New Roman" w:cs="Times New Roman"/>
                            <w:sz w:val="24"/>
                            <w:szCs w:val="24"/>
                          </w:rPr>
                          <w:t xml:space="preserve">Full text articles were excluded </w:t>
                        </w:r>
                        <w:r w:rsidRPr="00B060F9">
                          <w:rPr>
                            <w:rFonts w:ascii="Times New Roman" w:hAnsi="Times New Roman" w:cs="Times New Roman"/>
                            <w:sz w:val="24"/>
                            <w:szCs w:val="24"/>
                          </w:rPr>
                          <w:t xml:space="preserve">because: </w:t>
                        </w:r>
                      </w:p>
                      <w:p w14:paraId="3EE865F8" w14:textId="77777777" w:rsidR="00A019E1" w:rsidRDefault="00A019E1" w:rsidP="00A019E1">
                        <w:pPr>
                          <w:pStyle w:val="ListParagraph"/>
                          <w:numPr>
                            <w:ilvl w:val="0"/>
                            <w:numId w:val="23"/>
                          </w:numPr>
                          <w:spacing w:line="276" w:lineRule="auto"/>
                          <w:rPr>
                            <w:rFonts w:ascii="Times New Roman" w:hAnsi="Times New Roman" w:cs="Times New Roman"/>
                            <w:sz w:val="24"/>
                            <w:szCs w:val="24"/>
                          </w:rPr>
                        </w:pPr>
                        <w:r>
                          <w:rPr>
                            <w:rFonts w:ascii="Times New Roman" w:hAnsi="Times New Roman" w:cs="Times New Roman"/>
                            <w:sz w:val="24"/>
                            <w:szCs w:val="24"/>
                          </w:rPr>
                          <w:t>Data was collected from experiments not involving human subjects or</w:t>
                        </w:r>
                      </w:p>
                      <w:p w14:paraId="749CC3C4" w14:textId="77777777" w:rsidR="00A019E1" w:rsidRDefault="00A019E1" w:rsidP="00A019E1">
                        <w:pPr>
                          <w:pStyle w:val="ListParagraph"/>
                          <w:numPr>
                            <w:ilvl w:val="0"/>
                            <w:numId w:val="23"/>
                          </w:numPr>
                          <w:spacing w:line="276" w:lineRule="auto"/>
                          <w:rPr>
                            <w:rFonts w:ascii="Times New Roman" w:hAnsi="Times New Roman" w:cs="Times New Roman"/>
                            <w:sz w:val="24"/>
                            <w:szCs w:val="24"/>
                          </w:rPr>
                        </w:pPr>
                        <w:r>
                          <w:rPr>
                            <w:rFonts w:ascii="Times New Roman" w:hAnsi="Times New Roman" w:cs="Times New Roman"/>
                            <w:sz w:val="24"/>
                            <w:szCs w:val="24"/>
                          </w:rPr>
                          <w:t>Had theoretical and hypothetical subjects or</w:t>
                        </w:r>
                      </w:p>
                      <w:p w14:paraId="3D0F2CE4" w14:textId="77777777" w:rsidR="00A019E1" w:rsidRDefault="00A019E1" w:rsidP="00A019E1">
                        <w:pPr>
                          <w:pStyle w:val="ListParagraph"/>
                          <w:numPr>
                            <w:ilvl w:val="0"/>
                            <w:numId w:val="23"/>
                          </w:numPr>
                          <w:spacing w:line="276" w:lineRule="auto"/>
                          <w:rPr>
                            <w:rFonts w:ascii="Times New Roman" w:hAnsi="Times New Roman" w:cs="Times New Roman"/>
                            <w:sz w:val="24"/>
                            <w:szCs w:val="24"/>
                          </w:rPr>
                        </w:pPr>
                        <w:r w:rsidRPr="00617D38">
                          <w:rPr>
                            <w:rFonts w:ascii="Times New Roman" w:hAnsi="Times New Roman" w:cs="Times New Roman"/>
                            <w:sz w:val="24"/>
                            <w:szCs w:val="24"/>
                          </w:rPr>
                          <w:t xml:space="preserve">Had no mention of factors influencing </w:t>
                        </w:r>
                        <w:r>
                          <w:rPr>
                            <w:rFonts w:ascii="Times New Roman" w:hAnsi="Times New Roman" w:cs="Times New Roman"/>
                            <w:sz w:val="24"/>
                            <w:szCs w:val="24"/>
                          </w:rPr>
                          <w:t xml:space="preserve">bidder </w:t>
                        </w:r>
                        <w:r w:rsidRPr="00617D38">
                          <w:rPr>
                            <w:rFonts w:ascii="Times New Roman" w:hAnsi="Times New Roman" w:cs="Times New Roman"/>
                            <w:sz w:val="24"/>
                            <w:szCs w:val="24"/>
                          </w:rPr>
                          <w:t xml:space="preserve">participation </w:t>
                        </w:r>
                        <w:r>
                          <w:rPr>
                            <w:rFonts w:ascii="Times New Roman" w:hAnsi="Times New Roman" w:cs="Times New Roman"/>
                            <w:sz w:val="24"/>
                            <w:szCs w:val="24"/>
                          </w:rPr>
                          <w:t xml:space="preserve">or </w:t>
                        </w:r>
                      </w:p>
                      <w:p w14:paraId="0A39F5E2" w14:textId="77777777" w:rsidR="00A019E1" w:rsidRPr="00617D38" w:rsidRDefault="00A019E1" w:rsidP="00A019E1">
                        <w:pPr>
                          <w:pStyle w:val="ListParagraph"/>
                          <w:numPr>
                            <w:ilvl w:val="0"/>
                            <w:numId w:val="23"/>
                          </w:numPr>
                          <w:spacing w:line="276" w:lineRule="auto"/>
                          <w:rPr>
                            <w:rFonts w:ascii="Times New Roman" w:hAnsi="Times New Roman" w:cs="Times New Roman"/>
                            <w:sz w:val="24"/>
                            <w:szCs w:val="24"/>
                          </w:rPr>
                        </w:pPr>
                        <w:r>
                          <w:rPr>
                            <w:rFonts w:ascii="Times New Roman" w:hAnsi="Times New Roman" w:cs="Times New Roman"/>
                            <w:sz w:val="24"/>
                            <w:szCs w:val="24"/>
                          </w:rPr>
                          <w:t>Had no mention or indication of a potential bidder and an auctioneer or bidding process in PES market</w:t>
                        </w:r>
                      </w:p>
                    </w:txbxContent>
                  </v:textbox>
                </v:rect>
                <v:shape id="Arrow: Down 40" o:spid="_x0000_s1035" type="#_x0000_t67" style="position:absolute;left:16301;top:52033;width:1295;height:3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" adj="17387" fillcolor="windowText" strokeweight="1pt"/>
                <v:roundrect id="Rectangle: Rounded Corners 41" o:spid="_x0000_s1036" style="position:absolute;left:1741;top:55299;width:30457;height:86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" fillcolor="window" strokecolor="#92d050" strokeweight=".25pt">
                  <v:stroke joinstyle="miter"/>
                  <v:textbox>
                    <w:txbxContent>
                      <w:p w14:paraId="7ED6C1E0" w14:textId="77777777" w:rsidR="00A019E1" w:rsidRPr="00D3080D" w:rsidRDefault="00A019E1" w:rsidP="00A019E1">
                        <w:pPr>
                          <w:jc w:val="center"/>
                          <w:rPr>
                            <w:rFonts w:ascii="Times New Roman" w:hAnsi="Times New Roman" w:cs="Times New Roman"/>
                            <w:sz w:val="24"/>
                            <w:szCs w:val="24"/>
                          </w:rPr>
                        </w:pPr>
                        <w:r w:rsidRPr="00D3080D">
                          <w:rPr>
                            <w:rFonts w:ascii="Times New Roman" w:hAnsi="Times New Roman" w:cs="Times New Roman"/>
                            <w:sz w:val="24"/>
                            <w:szCs w:val="24"/>
                          </w:rPr>
                          <w:t xml:space="preserve">Full-text screening and </w:t>
                        </w:r>
                        <w:r>
                          <w:rPr>
                            <w:rFonts w:ascii="Times New Roman" w:hAnsi="Times New Roman" w:cs="Times New Roman"/>
                            <w:sz w:val="24"/>
                            <w:szCs w:val="24"/>
                          </w:rPr>
                          <w:t xml:space="preserve">number of studies involving laboratory or field experiments with human subjects </w:t>
                        </w:r>
                        <w:r w:rsidRPr="00D3080D">
                          <w:rPr>
                            <w:rFonts w:ascii="Times New Roman" w:hAnsi="Times New Roman" w:cs="Times New Roman"/>
                            <w:sz w:val="24"/>
                            <w:szCs w:val="24"/>
                          </w:rPr>
                          <w:t xml:space="preserve">(n = </w:t>
                        </w:r>
                        <w:r>
                          <w:rPr>
                            <w:rFonts w:ascii="Times New Roman" w:hAnsi="Times New Roman" w:cs="Times New Roman"/>
                            <w:sz w:val="24"/>
                            <w:szCs w:val="24"/>
                          </w:rPr>
                          <w:t>51</w:t>
                        </w:r>
                        <w:r w:rsidRPr="00D3080D">
                          <w:rPr>
                            <w:rFonts w:ascii="Times New Roman" w:hAnsi="Times New Roman" w:cs="Times New Roman"/>
                            <w:sz w:val="24"/>
                            <w:szCs w:val="24"/>
                          </w:rPr>
                          <w:t>)</w:t>
                        </w:r>
                      </w:p>
                      <w:p w14:paraId="0FD8B9D2" w14:textId="77777777" w:rsidR="00A019E1" w:rsidRDefault="00A019E1" w:rsidP="00A019E1">
                        <w:r>
                          <w:t xml:space="preserve">                                                              </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2" o:spid="_x0000_s1037" type="#_x0000_t13" style="position:absolute;left:32246;top:58781;width:5410;height:73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" adj="20140" fillcolor="windowText" strokeweight="1pt"/>
                <v:roundrect id="Rectangle: Rounded Corners 43" o:spid="_x0000_s1038" style="position:absolute;left:1741;top:13824;width:30534;height:76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" fillcolor="window" strokecolor="#92d050" strokeweight=".25pt">
                  <v:stroke joinstyle="miter"/>
                  <v:textbox>
                    <w:txbxContent>
                      <w:p w14:paraId="0189CE8D" w14:textId="77777777" w:rsidR="00A019E1" w:rsidRPr="00C9393A" w:rsidRDefault="00A019E1" w:rsidP="00A019E1">
                        <w:pPr>
                          <w:jc w:val="center"/>
                          <w:rPr>
                            <w:rFonts w:ascii="Times New Roman" w:hAnsi="Times New Roman" w:cs="Times New Roman"/>
                            <w:sz w:val="24"/>
                            <w:szCs w:val="24"/>
                          </w:rPr>
                        </w:pPr>
                        <w:r w:rsidRPr="00C9393A">
                          <w:rPr>
                            <w:rFonts w:ascii="Times New Roman" w:hAnsi="Times New Roman" w:cs="Times New Roman"/>
                            <w:sz w:val="24"/>
                            <w:szCs w:val="24"/>
                          </w:rPr>
                          <w:t xml:space="preserve">Total number of </w:t>
                        </w:r>
                        <w:r>
                          <w:rPr>
                            <w:rFonts w:ascii="Times New Roman" w:hAnsi="Times New Roman" w:cs="Times New Roman"/>
                            <w:sz w:val="24"/>
                            <w:szCs w:val="24"/>
                          </w:rPr>
                          <w:t xml:space="preserve">studies that had relevance to agri-environment schemes or payment for ecosystem services </w:t>
                        </w:r>
                        <w:r w:rsidRPr="00C9393A">
                          <w:rPr>
                            <w:rFonts w:ascii="Times New Roman" w:hAnsi="Times New Roman" w:cs="Times New Roman"/>
                            <w:sz w:val="24"/>
                            <w:szCs w:val="24"/>
                          </w:rPr>
                          <w:t xml:space="preserve">(n = </w:t>
                        </w:r>
                        <w:r>
                          <w:rPr>
                            <w:rFonts w:ascii="Times New Roman" w:hAnsi="Times New Roman" w:cs="Times New Roman"/>
                            <w:sz w:val="24"/>
                            <w:szCs w:val="24"/>
                          </w:rPr>
                          <w:t>635</w:t>
                        </w:r>
                        <w:r w:rsidRPr="00C9393A">
                          <w:rPr>
                            <w:rFonts w:ascii="Times New Roman" w:hAnsi="Times New Roman" w:cs="Times New Roman"/>
                            <w:sz w:val="24"/>
                            <w:szCs w:val="24"/>
                          </w:rPr>
                          <w:t>)</w:t>
                        </w:r>
                      </w:p>
                    </w:txbxContent>
                  </v:textbox>
                </v:roundrect>
                <v:shape id="Arrow: Down 44" o:spid="_x0000_s1039" type="#_x0000_t67" style="position:absolute;left:16301;top:21336;width:1192;height:5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" adj="19098" fillcolor="windowText" strokeweight="1pt"/>
                <v:shape id="Arrow: Right 45" o:spid="_x0000_s1040" type="#_x0000_t13" style="position:absolute;left:32344;top:16314;width:5191;height:910;rotation: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" adj="19705" fillcolor="black [3200]" strokecolor="black [1600]" strokeweight="1pt"/>
                <w10:wrap anchorx="margin"/>
              </v:group>
            </w:pict>
          </mc:Fallback>
        </mc:AlternateContent>
      </w:r>
    </w:p>
    <w:p w14:paraId="79CC0204" w14:textId="77777777" w:rsidR="00A019E1" w:rsidRPr="00A019E1" w:rsidRDefault="00A019E1" w:rsidP="00A019E1">
      <w:pPr>
        <w:spacing w:line="360" w:lineRule="auto"/>
        <w:jc w:val="both"/>
        <w:rPr>
          <w:rFonts w:ascii="Times New Roman" w:hAnsi="Times New Roman" w:cs="Times New Roman"/>
          <w:sz w:val="24"/>
          <w:szCs w:val="24"/>
        </w:rPr>
      </w:pPr>
    </w:p>
    <w:p w14:paraId="227650E3" w14:textId="77777777" w:rsidR="00A019E1" w:rsidRPr="00A019E1" w:rsidRDefault="00A019E1" w:rsidP="00A019E1">
      <w:pPr>
        <w:spacing w:line="360" w:lineRule="auto"/>
        <w:jc w:val="both"/>
        <w:rPr>
          <w:rFonts w:ascii="Times New Roman" w:hAnsi="Times New Roman" w:cs="Times New Roman"/>
          <w:sz w:val="24"/>
          <w:szCs w:val="24"/>
        </w:rPr>
      </w:pPr>
    </w:p>
    <w:p w14:paraId="3009CAA4" w14:textId="77777777" w:rsidR="00A019E1" w:rsidRPr="00A019E1" w:rsidRDefault="00A019E1" w:rsidP="00A019E1">
      <w:pPr>
        <w:tabs>
          <w:tab w:val="left" w:pos="6663"/>
        </w:tabs>
        <w:spacing w:line="360" w:lineRule="auto"/>
        <w:jc w:val="both"/>
        <w:rPr>
          <w:rFonts w:ascii="Times New Roman" w:hAnsi="Times New Roman" w:cs="Times New Roman"/>
          <w:sz w:val="24"/>
          <w:szCs w:val="24"/>
        </w:rPr>
      </w:pPr>
    </w:p>
    <w:p w14:paraId="02AFB592" w14:textId="77777777" w:rsidR="00A019E1" w:rsidRPr="00A019E1" w:rsidRDefault="00A019E1" w:rsidP="00A019E1">
      <w:pPr>
        <w:spacing w:line="360" w:lineRule="auto"/>
        <w:jc w:val="both"/>
        <w:rPr>
          <w:rFonts w:ascii="Times New Roman" w:hAnsi="Times New Roman" w:cs="Times New Roman"/>
          <w:sz w:val="24"/>
          <w:szCs w:val="24"/>
        </w:rPr>
      </w:pPr>
    </w:p>
    <w:p w14:paraId="29D55A29" w14:textId="77777777" w:rsidR="00A019E1" w:rsidRPr="00A019E1" w:rsidRDefault="00A019E1" w:rsidP="00A019E1">
      <w:pPr>
        <w:spacing w:line="360" w:lineRule="auto"/>
        <w:jc w:val="both"/>
        <w:rPr>
          <w:rFonts w:ascii="Times New Roman" w:hAnsi="Times New Roman" w:cs="Times New Roman"/>
          <w:sz w:val="24"/>
          <w:szCs w:val="24"/>
        </w:rPr>
      </w:pPr>
      <w:r w:rsidRPr="00A019E1">
        <w:rPr>
          <w:rFonts w:ascii="Times New Roman" w:hAnsi="Times New Roman" w:cs="Times New Roman"/>
          <w:noProof/>
          <w:lang w:eastAsia="en-GB"/>
        </w:rPr>
        <mc:AlternateContent>
          <mc:Choice Requires="wps">
            <w:drawing>
              <wp:anchor distT="0" distB="0" distL="114300" distR="114300" simplePos="0" relativeHeight="251681792" behindDoc="0" locked="0" layoutInCell="1" allowOverlap="1" wp14:anchorId="0DD1A97A" wp14:editId="3F5F6870">
                <wp:simplePos x="0" y="0"/>
                <wp:positionH relativeFrom="column">
                  <wp:posOffset>3495040</wp:posOffset>
                </wp:positionH>
                <wp:positionV relativeFrom="paragraph">
                  <wp:posOffset>280670</wp:posOffset>
                </wp:positionV>
                <wp:extent cx="2331006" cy="904240"/>
                <wp:effectExtent l="0" t="0" r="12700" b="10160"/>
                <wp:wrapNone/>
                <wp:docPr id="46" name="Rectangle 46"/>
                <wp:cNvGraphicFramePr/>
                <a:graphic xmlns:a="http://schemas.openxmlformats.org/drawingml/2006/main">
                  <a:graphicData uri="http://schemas.microsoft.com/office/word/2010/wordprocessingShape">
                    <wps:wsp>
                      <wps:cNvSpPr/>
                      <wps:spPr>
                        <a:xfrm>
                          <a:off x="0" y="0"/>
                          <a:ext cx="2331006" cy="904240"/>
                        </a:xfrm>
                        <a:prstGeom prst="rect">
                          <a:avLst/>
                        </a:prstGeom>
                        <a:solidFill>
                          <a:sysClr val="window" lastClr="FFFFFF"/>
                        </a:solidFill>
                        <a:ln w="3175" cap="flat" cmpd="sng" algn="ctr">
                          <a:solidFill>
                            <a:srgbClr val="ED7D31">
                              <a:lumMod val="40000"/>
                              <a:lumOff val="60000"/>
                            </a:srgbClr>
                          </a:solidFill>
                          <a:prstDash val="sysDash"/>
                          <a:miter lim="800000"/>
                        </a:ln>
                        <a:effectLst/>
                      </wps:spPr>
                      <wps:txbx>
                        <w:txbxContent>
                          <w:p w14:paraId="2082E315" w14:textId="77777777" w:rsidR="00A019E1" w:rsidRPr="00C9393A" w:rsidRDefault="00A019E1" w:rsidP="00A019E1">
                            <w:pPr>
                              <w:spacing w:line="276" w:lineRule="auto"/>
                              <w:rPr>
                                <w:rFonts w:ascii="Times New Roman" w:hAnsi="Times New Roman" w:cs="Times New Roman"/>
                                <w:sz w:val="24"/>
                                <w:szCs w:val="24"/>
                              </w:rPr>
                            </w:pPr>
                            <w:r w:rsidRPr="00C9393A">
                              <w:rPr>
                                <w:rFonts w:ascii="Times New Roman" w:hAnsi="Times New Roman" w:cs="Times New Roman"/>
                                <w:sz w:val="24"/>
                                <w:szCs w:val="24"/>
                              </w:rPr>
                              <w:t xml:space="preserve">Articles (n = </w:t>
                            </w:r>
                            <w:r>
                              <w:rPr>
                                <w:rFonts w:ascii="Times New Roman" w:hAnsi="Times New Roman" w:cs="Times New Roman"/>
                                <w:sz w:val="24"/>
                                <w:szCs w:val="24"/>
                              </w:rPr>
                              <w:t>480</w:t>
                            </w:r>
                            <w:r w:rsidRPr="00C9393A">
                              <w:rPr>
                                <w:rFonts w:ascii="Times New Roman" w:hAnsi="Times New Roman" w:cs="Times New Roman"/>
                                <w:sz w:val="24"/>
                                <w:szCs w:val="24"/>
                              </w:rPr>
                              <w:t>) were excluded because the</w:t>
                            </w:r>
                            <w:r>
                              <w:rPr>
                                <w:rFonts w:ascii="Times New Roman" w:hAnsi="Times New Roman" w:cs="Times New Roman"/>
                                <w:sz w:val="24"/>
                                <w:szCs w:val="24"/>
                              </w:rPr>
                              <w:t>y were not peer reviewed articles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D1A97A" id="Rectangle 46" o:spid="_x0000_s1041" style="position:absolute;left:0;text-align:left;margin-left:275.2pt;margin-top:22.1pt;width:183.55pt;height:71.2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" fillcolor="window" strokecolor="#f8cbad" strokeweight=".25pt">
                <v:stroke dashstyle="3 1"/>
                <v:textbox>
                  <w:txbxContent>
                    <w:p w14:paraId="2082E315" w14:textId="77777777" w:rsidR="00A019E1" w:rsidRPr="00C9393A" w:rsidRDefault="00A019E1" w:rsidP="00A019E1">
                      <w:pPr>
                        <w:spacing w:line="276" w:lineRule="auto"/>
                        <w:rPr>
                          <w:rFonts w:ascii="Times New Roman" w:hAnsi="Times New Roman" w:cs="Times New Roman"/>
                          <w:sz w:val="24"/>
                          <w:szCs w:val="24"/>
                        </w:rPr>
                      </w:pPr>
                      <w:r w:rsidRPr="00C9393A">
                        <w:rPr>
                          <w:rFonts w:ascii="Times New Roman" w:hAnsi="Times New Roman" w:cs="Times New Roman"/>
                          <w:sz w:val="24"/>
                          <w:szCs w:val="24"/>
                        </w:rPr>
                        <w:t xml:space="preserve">Articles (n = </w:t>
                      </w:r>
                      <w:r>
                        <w:rPr>
                          <w:rFonts w:ascii="Times New Roman" w:hAnsi="Times New Roman" w:cs="Times New Roman"/>
                          <w:sz w:val="24"/>
                          <w:szCs w:val="24"/>
                        </w:rPr>
                        <w:t>480</w:t>
                      </w:r>
                      <w:r w:rsidRPr="00C9393A">
                        <w:rPr>
                          <w:rFonts w:ascii="Times New Roman" w:hAnsi="Times New Roman" w:cs="Times New Roman"/>
                          <w:sz w:val="24"/>
                          <w:szCs w:val="24"/>
                        </w:rPr>
                        <w:t>) were excluded because the</w:t>
                      </w:r>
                      <w:r>
                        <w:rPr>
                          <w:rFonts w:ascii="Times New Roman" w:hAnsi="Times New Roman" w:cs="Times New Roman"/>
                          <w:sz w:val="24"/>
                          <w:szCs w:val="24"/>
                        </w:rPr>
                        <w:t>y were not peer reviewed articles</w:t>
                      </w:r>
                    </w:p>
                  </w:txbxContent>
                </v:textbox>
              </v:rect>
            </w:pict>
          </mc:Fallback>
        </mc:AlternateContent>
      </w:r>
    </w:p>
    <w:p w14:paraId="78F0B29B" w14:textId="77777777" w:rsidR="00A019E1" w:rsidRPr="00A019E1" w:rsidRDefault="00A019E1" w:rsidP="00A019E1">
      <w:pPr>
        <w:spacing w:line="360" w:lineRule="auto"/>
        <w:jc w:val="both"/>
        <w:rPr>
          <w:rFonts w:ascii="Times New Roman" w:hAnsi="Times New Roman" w:cs="Times New Roman"/>
          <w:sz w:val="24"/>
          <w:szCs w:val="24"/>
        </w:rPr>
      </w:pPr>
    </w:p>
    <w:p w14:paraId="4500E1BD" w14:textId="77777777" w:rsidR="00A019E1" w:rsidRPr="00A019E1" w:rsidRDefault="00A019E1" w:rsidP="00A019E1">
      <w:pPr>
        <w:spacing w:line="360" w:lineRule="auto"/>
        <w:jc w:val="both"/>
        <w:rPr>
          <w:rFonts w:ascii="Times New Roman" w:hAnsi="Times New Roman" w:cs="Times New Roman"/>
          <w:sz w:val="24"/>
          <w:szCs w:val="24"/>
        </w:rPr>
      </w:pPr>
      <w:r w:rsidRPr="00A019E1">
        <w:rPr>
          <w:rFonts w:ascii="Times New Roman" w:hAnsi="Times New Roman" w:cs="Times New Roman"/>
          <w:noProof/>
          <w:lang w:eastAsia="en-GB"/>
        </w:rPr>
        <mc:AlternateContent>
          <mc:Choice Requires="wps">
            <w:drawing>
              <wp:anchor distT="0" distB="0" distL="114300" distR="114300" simplePos="0" relativeHeight="251682816" behindDoc="0" locked="0" layoutInCell="1" allowOverlap="1" wp14:anchorId="4A367697" wp14:editId="267059E5">
                <wp:simplePos x="0" y="0"/>
                <wp:positionH relativeFrom="column">
                  <wp:posOffset>2975809</wp:posOffset>
                </wp:positionH>
                <wp:positionV relativeFrom="paragraph">
                  <wp:posOffset>322816</wp:posOffset>
                </wp:positionV>
                <wp:extent cx="506698" cy="79192"/>
                <wp:effectExtent l="0" t="0" r="0" b="0"/>
                <wp:wrapNone/>
                <wp:docPr id="47" name="Arrow: Right 47"/>
                <wp:cNvGraphicFramePr/>
                <a:graphic xmlns:a="http://schemas.openxmlformats.org/drawingml/2006/main">
                  <a:graphicData uri="http://schemas.microsoft.com/office/word/2010/wordprocessingShape">
                    <wps:wsp>
                      <wps:cNvSpPr/>
                      <wps:spPr>
                        <a:xfrm rot="480000">
                          <a:off x="0" y="0"/>
                          <a:ext cx="506698" cy="79192"/>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 w14:anchorId="58243D93" id="Arrow: Right 47" o:spid="_x0000_s1026" type="#_x0000_t13" style="position:absolute;margin-left:234.3pt;margin-top:25.4pt;width:39.9pt;height:6.25pt;rotation:8;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" adj="19912" fillcolor="windowText" strokeweight="1pt"/>
            </w:pict>
          </mc:Fallback>
        </mc:AlternateContent>
      </w:r>
    </w:p>
    <w:p w14:paraId="4DE0EC32" w14:textId="77777777" w:rsidR="00A019E1" w:rsidRPr="00A019E1" w:rsidRDefault="00A019E1" w:rsidP="00A019E1">
      <w:pPr>
        <w:spacing w:line="360" w:lineRule="auto"/>
        <w:jc w:val="both"/>
        <w:rPr>
          <w:rFonts w:ascii="Times New Roman" w:hAnsi="Times New Roman" w:cs="Times New Roman"/>
          <w:sz w:val="24"/>
          <w:szCs w:val="24"/>
        </w:rPr>
      </w:pPr>
    </w:p>
    <w:p w14:paraId="48D22084" w14:textId="77777777" w:rsidR="00A019E1" w:rsidRPr="00A019E1" w:rsidRDefault="00A019E1" w:rsidP="00A019E1">
      <w:pPr>
        <w:spacing w:line="360" w:lineRule="auto"/>
        <w:jc w:val="both"/>
        <w:rPr>
          <w:rFonts w:ascii="Times New Roman" w:hAnsi="Times New Roman" w:cs="Times New Roman"/>
          <w:sz w:val="24"/>
          <w:szCs w:val="24"/>
        </w:rPr>
      </w:pPr>
    </w:p>
    <w:p w14:paraId="40364670" w14:textId="77777777" w:rsidR="00A019E1" w:rsidRPr="00A019E1" w:rsidRDefault="00A019E1" w:rsidP="00A019E1">
      <w:pPr>
        <w:spacing w:line="360" w:lineRule="auto"/>
        <w:jc w:val="both"/>
        <w:rPr>
          <w:rFonts w:ascii="Times New Roman" w:hAnsi="Times New Roman" w:cs="Times New Roman"/>
          <w:sz w:val="24"/>
          <w:szCs w:val="24"/>
        </w:rPr>
      </w:pPr>
    </w:p>
    <w:p w14:paraId="7D391265" w14:textId="77777777" w:rsidR="00A019E1" w:rsidRPr="00A019E1" w:rsidRDefault="00A019E1" w:rsidP="00A019E1">
      <w:pPr>
        <w:spacing w:line="360" w:lineRule="auto"/>
        <w:jc w:val="both"/>
        <w:rPr>
          <w:rFonts w:ascii="Times New Roman" w:hAnsi="Times New Roman" w:cs="Times New Roman"/>
          <w:sz w:val="24"/>
          <w:szCs w:val="24"/>
        </w:rPr>
      </w:pPr>
    </w:p>
    <w:p w14:paraId="1183B97C" w14:textId="77777777" w:rsidR="00A019E1" w:rsidRPr="00A019E1" w:rsidRDefault="00A019E1" w:rsidP="00A019E1">
      <w:pPr>
        <w:spacing w:line="360" w:lineRule="auto"/>
        <w:jc w:val="both"/>
        <w:rPr>
          <w:rFonts w:ascii="Times New Roman" w:hAnsi="Times New Roman" w:cs="Times New Roman"/>
          <w:sz w:val="24"/>
          <w:szCs w:val="24"/>
        </w:rPr>
      </w:pPr>
    </w:p>
    <w:p w14:paraId="056F8937" w14:textId="77777777" w:rsidR="00A019E1" w:rsidRPr="00A019E1" w:rsidRDefault="00A019E1" w:rsidP="00A019E1">
      <w:pPr>
        <w:spacing w:line="360" w:lineRule="auto"/>
        <w:jc w:val="both"/>
        <w:rPr>
          <w:rFonts w:ascii="Times New Roman" w:hAnsi="Times New Roman" w:cs="Times New Roman"/>
          <w:sz w:val="24"/>
          <w:szCs w:val="24"/>
        </w:rPr>
      </w:pPr>
    </w:p>
    <w:p w14:paraId="22EFBB2E" w14:textId="77777777" w:rsidR="00A019E1" w:rsidRPr="00A019E1" w:rsidRDefault="00A019E1" w:rsidP="00A019E1">
      <w:pPr>
        <w:spacing w:line="360" w:lineRule="auto"/>
        <w:jc w:val="both"/>
        <w:rPr>
          <w:rFonts w:ascii="Times New Roman" w:hAnsi="Times New Roman" w:cs="Times New Roman"/>
          <w:sz w:val="24"/>
          <w:szCs w:val="24"/>
        </w:rPr>
      </w:pPr>
    </w:p>
    <w:p w14:paraId="61EC9007" w14:textId="77777777" w:rsidR="00A019E1" w:rsidRPr="00A019E1" w:rsidRDefault="00A019E1" w:rsidP="00A019E1">
      <w:pPr>
        <w:spacing w:line="360" w:lineRule="auto"/>
        <w:jc w:val="both"/>
        <w:rPr>
          <w:rFonts w:ascii="Times New Roman" w:hAnsi="Times New Roman" w:cs="Times New Roman"/>
          <w:sz w:val="24"/>
          <w:szCs w:val="24"/>
        </w:rPr>
      </w:pPr>
    </w:p>
    <w:p w14:paraId="4B5E3ED9" w14:textId="77777777" w:rsidR="00A019E1" w:rsidRPr="00A019E1" w:rsidRDefault="00A019E1" w:rsidP="00A019E1">
      <w:pPr>
        <w:spacing w:line="360" w:lineRule="auto"/>
        <w:jc w:val="both"/>
        <w:rPr>
          <w:rFonts w:ascii="Times New Roman" w:hAnsi="Times New Roman" w:cs="Times New Roman"/>
          <w:sz w:val="24"/>
          <w:szCs w:val="24"/>
        </w:rPr>
      </w:pPr>
    </w:p>
    <w:p w14:paraId="799DF0A8" w14:textId="77777777" w:rsidR="00A019E1" w:rsidRPr="00A019E1" w:rsidRDefault="00A019E1" w:rsidP="00A019E1">
      <w:pPr>
        <w:spacing w:line="360" w:lineRule="auto"/>
        <w:jc w:val="both"/>
        <w:rPr>
          <w:rFonts w:ascii="Times New Roman" w:hAnsi="Times New Roman" w:cs="Times New Roman"/>
          <w:b/>
          <w:bCs/>
          <w:sz w:val="24"/>
          <w:szCs w:val="24"/>
        </w:rPr>
      </w:pPr>
    </w:p>
    <w:p w14:paraId="3B265777" w14:textId="77777777" w:rsidR="00A019E1" w:rsidRPr="00A019E1" w:rsidRDefault="00A019E1" w:rsidP="00A019E1">
      <w:pPr>
        <w:spacing w:line="360" w:lineRule="auto"/>
        <w:jc w:val="both"/>
        <w:rPr>
          <w:rFonts w:ascii="Times New Roman" w:hAnsi="Times New Roman" w:cs="Times New Roman"/>
          <w:b/>
          <w:bCs/>
          <w:sz w:val="24"/>
          <w:szCs w:val="24"/>
        </w:rPr>
      </w:pPr>
    </w:p>
    <w:p w14:paraId="48F64294" w14:textId="77777777" w:rsidR="00A019E1" w:rsidRPr="00A019E1" w:rsidRDefault="00A019E1" w:rsidP="00A019E1">
      <w:pPr>
        <w:spacing w:line="360" w:lineRule="auto"/>
        <w:jc w:val="both"/>
        <w:rPr>
          <w:rFonts w:ascii="Times New Roman" w:hAnsi="Times New Roman" w:cs="Times New Roman"/>
          <w:b/>
          <w:bCs/>
          <w:sz w:val="24"/>
          <w:szCs w:val="24"/>
        </w:rPr>
      </w:pPr>
      <w:r w:rsidRPr="00A019E1">
        <w:rPr>
          <w:rFonts w:ascii="Times New Roman" w:hAnsi="Times New Roman" w:cs="Times New Roman"/>
          <w:b/>
          <w:bCs/>
          <w:sz w:val="24"/>
          <w:szCs w:val="24"/>
        </w:rPr>
        <w:t>Figure 1: Flow diagram demonstrating our search strategy and study selection</w:t>
      </w:r>
    </w:p>
    <w:p w14:paraId="2A64F325" w14:textId="77777777" w:rsidR="00A019E1" w:rsidRPr="00A019E1" w:rsidRDefault="00A019E1" w:rsidP="00A019E1">
      <w:pPr>
        <w:spacing w:line="360" w:lineRule="auto"/>
        <w:jc w:val="both"/>
        <w:rPr>
          <w:rFonts w:ascii="Times New Roman" w:hAnsi="Times New Roman" w:cs="Times New Roman"/>
          <w:sz w:val="24"/>
          <w:szCs w:val="24"/>
        </w:rPr>
      </w:pPr>
    </w:p>
    <w:p w14:paraId="7DD0A1F0" w14:textId="77777777" w:rsidR="00A019E1" w:rsidRPr="00A019E1" w:rsidRDefault="00A019E1" w:rsidP="00A019E1">
      <w:pPr>
        <w:spacing w:line="360" w:lineRule="auto"/>
        <w:jc w:val="both"/>
        <w:rPr>
          <w:rFonts w:ascii="Times New Roman" w:hAnsi="Times New Roman" w:cs="Times New Roman"/>
          <w:sz w:val="24"/>
          <w:szCs w:val="24"/>
        </w:rPr>
      </w:pPr>
    </w:p>
    <w:p w14:paraId="47E169AD" w14:textId="77777777" w:rsidR="00A019E1" w:rsidRPr="00A019E1" w:rsidRDefault="00A019E1" w:rsidP="00A019E1">
      <w:pPr>
        <w:spacing w:line="360" w:lineRule="auto"/>
        <w:jc w:val="both"/>
        <w:rPr>
          <w:rFonts w:ascii="Times New Roman" w:hAnsi="Times New Roman" w:cs="Times New Roman"/>
          <w:sz w:val="24"/>
          <w:szCs w:val="24"/>
        </w:rPr>
      </w:pPr>
    </w:p>
    <w:p w14:paraId="2D9FE47F" w14:textId="77777777" w:rsidR="00A019E1" w:rsidRPr="00A019E1" w:rsidRDefault="00A019E1" w:rsidP="00A019E1">
      <w:pPr>
        <w:spacing w:line="360" w:lineRule="auto"/>
        <w:jc w:val="both"/>
        <w:rPr>
          <w:rFonts w:ascii="Times New Roman" w:hAnsi="Times New Roman" w:cs="Times New Roman"/>
          <w:sz w:val="24"/>
          <w:szCs w:val="24"/>
        </w:rPr>
      </w:pPr>
    </w:p>
    <w:p w14:paraId="6A0D9D06" w14:textId="77777777" w:rsidR="00A019E1" w:rsidRPr="00A019E1" w:rsidRDefault="00A019E1" w:rsidP="00A019E1">
      <w:pPr>
        <w:spacing w:line="360" w:lineRule="auto"/>
        <w:jc w:val="both"/>
        <w:rPr>
          <w:rFonts w:ascii="Times New Roman" w:hAnsi="Times New Roman" w:cs="Times New Roman"/>
          <w:b/>
          <w:bCs/>
          <w:sz w:val="24"/>
          <w:szCs w:val="24"/>
        </w:rPr>
      </w:pPr>
      <w:r w:rsidRPr="00A019E1">
        <w:rPr>
          <w:rFonts w:ascii="Times New Roman" w:hAnsi="Times New Roman" w:cs="Times New Roman"/>
          <w:b/>
          <w:bCs/>
          <w:sz w:val="24"/>
          <w:szCs w:val="24"/>
        </w:rPr>
        <w:lastRenderedPageBreak/>
        <w:t>3.1 Communication treatment and feedback mechanisms in conservation auction design</w:t>
      </w:r>
    </w:p>
    <w:p w14:paraId="274DD48F" w14:textId="77777777" w:rsidR="00A019E1" w:rsidRPr="00A019E1" w:rsidRDefault="00A019E1" w:rsidP="00A019E1">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It is expensive and time-consuming to determine the opportunity costs of sellers of environmental services. Even if it was possible, there is risk and a tendency of sellers to overstate costs, because this is often in the best interests of sellers and opportunity costs are typically private information (Deng and Xu, 2015). Due to the problem of opportunism by PES actors, the design of a conservation auction is characterised by a careful restriction of information to avoid undue advantage to either actor which leads to different outcomes. Each actor is keen to make sure that they do not reveal information to the other that could lead to loss of benefits before establishing a suitable compensation package. </w:t>
      </w:r>
    </w:p>
    <w:p w14:paraId="6FE04292" w14:textId="77777777" w:rsidR="00A019E1" w:rsidRPr="00A019E1" w:rsidRDefault="00A019E1" w:rsidP="00A019E1">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Information which is relevant in auction performance includes information on aspects of the auction design, and information on the behaviour of other bidders (other sellers). Therefore, during the bidding process, a conservation agency (auctioneer) can withhold information on the budget to prevent bidders from developing a particular price preference (Leimona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2017) or asking for higher premiums if budgets are larger (Messer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2017). Before the bidding process, the auctioneer can further withhold information on the underlying costs distributions (Conte and Griffin, 2019), land valuations used to reach target budgets (Horowitz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2009), the environmental benefit index scores and methods of calculating benefits (Connor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2008). During the bidding process the auctioneer can also withhold information on competing offers (Narloch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2013) and the winning price (Jack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2008). In the laboratories, the auctioneers can also restrict communication between participants (Jack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2008; Fooks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2015) to avoid collision resulting in reduced competition and increased rent-seeking (Cason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2004; Connor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2008; Palm-foster </w:t>
      </w:r>
      <w:r w:rsidRPr="00A019E1">
        <w:rPr>
          <w:rFonts w:ascii="Times New Roman" w:hAnsi="Times New Roman" w:cs="Times New Roman"/>
          <w:i/>
          <w:iCs/>
          <w:sz w:val="24"/>
          <w:szCs w:val="24"/>
        </w:rPr>
        <w:t xml:space="preserve">et al. </w:t>
      </w:r>
      <w:r w:rsidRPr="00A019E1">
        <w:rPr>
          <w:rFonts w:ascii="Times New Roman" w:hAnsi="Times New Roman" w:cs="Times New Roman"/>
          <w:sz w:val="24"/>
          <w:szCs w:val="24"/>
        </w:rPr>
        <w:t>2016).</w:t>
      </w:r>
    </w:p>
    <w:p w14:paraId="0966C5F7" w14:textId="77777777" w:rsidR="00A019E1" w:rsidRPr="00A019E1" w:rsidRDefault="00A019E1" w:rsidP="00A019E1">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However, to improve information availability, the agency can decide to provide participants with information on the property (Thurston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2010), the purpose of the auction (Palm-foster </w:t>
      </w:r>
      <w:r w:rsidRPr="00A019E1">
        <w:rPr>
          <w:rFonts w:ascii="Times New Roman" w:hAnsi="Times New Roman" w:cs="Times New Roman"/>
          <w:i/>
          <w:iCs/>
          <w:sz w:val="24"/>
          <w:szCs w:val="24"/>
        </w:rPr>
        <w:t xml:space="preserve">et al. </w:t>
      </w:r>
      <w:r w:rsidRPr="00A019E1">
        <w:rPr>
          <w:rFonts w:ascii="Times New Roman" w:hAnsi="Times New Roman" w:cs="Times New Roman"/>
          <w:sz w:val="24"/>
          <w:szCs w:val="24"/>
        </w:rPr>
        <w:t xml:space="preserve">2016) and the technicalities of the new management practices (Wang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2012). The auctioneer can also provide information on the conservation compliance type - whether single or joint (Narloch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2017), market information (Messer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2017), reserve price (Boxall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2017), the selection rule (Narloch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2017) and the winning score (Banerjee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2015). If communication between participants is allowed, it is restricted to the discussion around the auction, previous and the new management practices and general familiarisation among participants (Jindal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2013; Santos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2021). Communication between </w:t>
      </w:r>
      <w:r w:rsidRPr="00A019E1">
        <w:rPr>
          <w:rFonts w:ascii="Times New Roman" w:hAnsi="Times New Roman" w:cs="Times New Roman"/>
          <w:sz w:val="24"/>
          <w:szCs w:val="24"/>
        </w:rPr>
        <w:lastRenderedPageBreak/>
        <w:t xml:space="preserve">participants is also important when spatial coordination between bidders in an auction is the target (Banerjee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2021). </w:t>
      </w:r>
    </w:p>
    <w:p w14:paraId="46C55000" w14:textId="77777777" w:rsidR="00A019E1" w:rsidRPr="00A019E1" w:rsidRDefault="00A019E1" w:rsidP="00A019E1">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In between bidding rounds, the auctioneer typically provides feedback on auction outcomes. For instance, information on the number of provisional rounds before the final one so that the last offer reflects the willingness to accept the contract (Leimona and Carrasco, 2017). Additionally, bidders get feedback on (from preceding bidding rounds) market and sellers behaviour (Messer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2017), whether offers are accepted or not, and their cumulative scores/earnings/profits (Vogt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2013; Fooks e</w:t>
      </w:r>
      <w:r w:rsidRPr="00A019E1">
        <w:rPr>
          <w:rFonts w:ascii="Times New Roman" w:hAnsi="Times New Roman" w:cs="Times New Roman"/>
          <w:i/>
          <w:iCs/>
          <w:sz w:val="24"/>
          <w:szCs w:val="24"/>
        </w:rPr>
        <w:t>t al.</w:t>
      </w:r>
      <w:r w:rsidRPr="00A019E1">
        <w:rPr>
          <w:rFonts w:ascii="Times New Roman" w:hAnsi="Times New Roman" w:cs="Times New Roman"/>
          <w:sz w:val="24"/>
          <w:szCs w:val="24"/>
        </w:rPr>
        <w:t xml:space="preserve"> 2015; Boxall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2017; Conte and Griffin, 2019). This feedback occurs without revealing the identity of bidders (Khalumba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2014) and without requiring the revision of offers in some cases (Otto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2021). Feedback between rounds helps to improve the bidding strategies (Santo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2021), provides an opportunity for participants to become familiar with the auction mechanism (Jack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2008) and how the market operates (Lan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2021), and for price discovery (Rolfe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2009). </w:t>
      </w:r>
    </w:p>
    <w:p w14:paraId="1A9ADD7A" w14:textId="4BC4F917" w:rsidR="00A019E1" w:rsidRPr="00A019E1" w:rsidRDefault="00A019E1" w:rsidP="00A019E1">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More specifically, exposure to information has been seen to increase benefits. For example, communication between bidders and auctioneers has been reported to lead to socially preferable outcomes in a competitive market with more equitable profits, trust and stronger bilateral relationships (Vogt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2013). If sellers have access to quality information on ecosystem services (e.g. land quality etc), they may submit higher quality conservation auctions that do not lead to loss of efficiency (Conte and Griffin, 2017). Withholding quality information introduces an eroding effect across enrolled asset values (Conte and Griffin, 2017)</w:t>
      </w:r>
      <w:r w:rsidR="0040442F">
        <w:rPr>
          <w:rFonts w:ascii="Times New Roman" w:hAnsi="Times New Roman" w:cs="Times New Roman"/>
          <w:sz w:val="24"/>
          <w:szCs w:val="24"/>
        </w:rPr>
        <w:t>.</w:t>
      </w:r>
    </w:p>
    <w:p w14:paraId="422F641E" w14:textId="77777777" w:rsidR="00A019E1" w:rsidRPr="00A019E1" w:rsidRDefault="00A019E1" w:rsidP="00A019E1">
      <w:pPr>
        <w:spacing w:line="360" w:lineRule="auto"/>
        <w:jc w:val="both"/>
        <w:rPr>
          <w:rFonts w:ascii="Times New Roman" w:hAnsi="Times New Roman" w:cs="Times New Roman"/>
          <w:sz w:val="24"/>
          <w:szCs w:val="24"/>
        </w:rPr>
      </w:pPr>
    </w:p>
    <w:p w14:paraId="2F20A1B9" w14:textId="77777777" w:rsidR="00A019E1" w:rsidRPr="00A019E1" w:rsidRDefault="00A019E1" w:rsidP="00A019E1">
      <w:pPr>
        <w:spacing w:line="360" w:lineRule="auto"/>
        <w:jc w:val="both"/>
        <w:rPr>
          <w:rFonts w:ascii="Times New Roman" w:hAnsi="Times New Roman" w:cs="Times New Roman"/>
          <w:b/>
          <w:bCs/>
          <w:sz w:val="24"/>
          <w:szCs w:val="24"/>
        </w:rPr>
      </w:pPr>
      <w:r w:rsidRPr="00A019E1">
        <w:rPr>
          <w:rFonts w:ascii="Times New Roman" w:hAnsi="Times New Roman" w:cs="Times New Roman"/>
          <w:b/>
          <w:bCs/>
          <w:sz w:val="24"/>
          <w:szCs w:val="24"/>
        </w:rPr>
        <w:t>3.2 Conservation auction pricing rules and auction formats</w:t>
      </w:r>
    </w:p>
    <w:p w14:paraId="11E91359" w14:textId="7C7111EC" w:rsidR="00A019E1" w:rsidRPr="00A019E1" w:rsidRDefault="00A019E1" w:rsidP="00A019E1">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There are three pricing rules used to determine the amount to be paid to sellers as compensation for meeting conservation requirements outlined in the contract – uniform, discriminatory, and a cost-benefit ratio (CBR) (Fooks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2015). In a uniform pricing rule, bidders receive the same amounts of payments based on either the highest winning bid or the lowest rejected bid, while discriminatory price rule winning bids are paid as received and CBR pricing payments are based on the highest cost-benefit ratios (Narloch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2013;</w:t>
      </w:r>
      <w:r w:rsidRPr="007853F0">
        <w:rPr>
          <w:rFonts w:ascii="Times New Roman" w:hAnsi="Times New Roman" w:cs="Times New Roman"/>
        </w:rPr>
        <w:t xml:space="preserve"> </w:t>
      </w:r>
      <w:r w:rsidRPr="00A019E1">
        <w:rPr>
          <w:rFonts w:ascii="Times New Roman" w:hAnsi="Times New Roman" w:cs="Times New Roman"/>
          <w:sz w:val="24"/>
          <w:szCs w:val="24"/>
        </w:rPr>
        <w:t>Schilizz and</w:t>
      </w:r>
      <w:r w:rsidRPr="007853F0">
        <w:rPr>
          <w:rFonts w:ascii="Times New Roman" w:hAnsi="Times New Roman" w:cs="Times New Roman"/>
        </w:rPr>
        <w:t xml:space="preserve"> </w:t>
      </w:r>
      <w:r w:rsidRPr="00A019E1">
        <w:rPr>
          <w:rFonts w:ascii="Times New Roman" w:hAnsi="Times New Roman" w:cs="Times New Roman"/>
          <w:sz w:val="24"/>
          <w:szCs w:val="24"/>
        </w:rPr>
        <w:t xml:space="preserve"> Latacz-Lohmann, 2012; Fooks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2015). Since offers in the CBR rule are made based on the largest cost-benefit ratios, they tend to out-perform other pricing mechanisms (Fooks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2015). CBR attracts fewer offers that are competitive for high-quality land parcels while delaying those not attracted to the program for later competitive use (Fooks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2015). Although the CBR </w:t>
      </w:r>
      <w:r w:rsidRPr="00A019E1">
        <w:rPr>
          <w:rFonts w:ascii="Times New Roman" w:hAnsi="Times New Roman" w:cs="Times New Roman"/>
          <w:sz w:val="24"/>
          <w:szCs w:val="24"/>
        </w:rPr>
        <w:lastRenderedPageBreak/>
        <w:t xml:space="preserve">secures significantly more benefits compared to the discriminatory pricing rule, it is characterised by a low participation rate and competition thus its limited use (Frooks </w:t>
      </w:r>
      <w:r w:rsidRPr="00A019E1">
        <w:rPr>
          <w:rFonts w:ascii="Times New Roman" w:hAnsi="Times New Roman" w:cs="Times New Roman"/>
          <w:i/>
          <w:iCs/>
          <w:sz w:val="24"/>
          <w:szCs w:val="24"/>
        </w:rPr>
        <w:t xml:space="preserve">et al. </w:t>
      </w:r>
      <w:r w:rsidRPr="00A019E1">
        <w:rPr>
          <w:rFonts w:ascii="Times New Roman" w:hAnsi="Times New Roman" w:cs="Times New Roman"/>
          <w:sz w:val="24"/>
          <w:szCs w:val="24"/>
        </w:rPr>
        <w:t xml:space="preserve">2015). In a competitive bidding, participants compete for compensation by submitting their financial bids to a conservation agency indicating the amount of payments they want offered to meet the set contractual requirements (Schilizzi and Latacz-Lohmann, 2012). Both the discriminatory and uniform pricing rules are competitive, but their differences lie within their ability to reveal the </w:t>
      </w:r>
      <w:r w:rsidR="00F92A37" w:rsidRPr="00A019E1">
        <w:rPr>
          <w:rFonts w:ascii="Times New Roman" w:hAnsi="Times New Roman" w:cs="Times New Roman"/>
          <w:sz w:val="24"/>
          <w:szCs w:val="24"/>
        </w:rPr>
        <w:t>bidders’</w:t>
      </w:r>
      <w:r w:rsidRPr="00A019E1">
        <w:rPr>
          <w:rFonts w:ascii="Times New Roman" w:hAnsi="Times New Roman" w:cs="Times New Roman"/>
          <w:sz w:val="24"/>
          <w:szCs w:val="24"/>
        </w:rPr>
        <w:t xml:space="preserve"> costs (Schilizzi and Latacz-Lohmann, 2012; Fooks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2015). </w:t>
      </w:r>
      <w:r w:rsidR="007853F0" w:rsidRPr="00A019E1">
        <w:rPr>
          <w:rFonts w:ascii="Times New Roman" w:hAnsi="Times New Roman" w:cs="Times New Roman"/>
          <w:sz w:val="24"/>
          <w:szCs w:val="24"/>
        </w:rPr>
        <w:t>However, if</w:t>
      </w:r>
      <w:r w:rsidRPr="00A019E1">
        <w:rPr>
          <w:rFonts w:ascii="Times New Roman" w:hAnsi="Times New Roman" w:cs="Times New Roman"/>
          <w:sz w:val="24"/>
          <w:szCs w:val="24"/>
        </w:rPr>
        <w:t xml:space="preserve"> both pricing rules are used, the first rejected offer rule for setting prices in the uniform-auctions may lead to higher prices per bidder resulting to efficiency loss compared to discriminative price sessions (Cason and Gangadharan, 2005).</w:t>
      </w:r>
    </w:p>
    <w:p w14:paraId="3597E858" w14:textId="77777777" w:rsidR="00A019E1" w:rsidRPr="00A019E1" w:rsidRDefault="00A019E1" w:rsidP="00A019E1">
      <w:pPr>
        <w:spacing w:line="360" w:lineRule="auto"/>
        <w:jc w:val="both"/>
        <w:rPr>
          <w:rFonts w:ascii="Times New Roman" w:eastAsia="Times New Roman" w:hAnsi="Times New Roman" w:cs="Times New Roman"/>
          <w:sz w:val="24"/>
          <w:szCs w:val="24"/>
          <w:lang w:eastAsia="en-GB"/>
        </w:rPr>
      </w:pPr>
      <w:r w:rsidRPr="00A019E1">
        <w:rPr>
          <w:rFonts w:ascii="Times New Roman" w:hAnsi="Times New Roman" w:cs="Times New Roman"/>
          <w:sz w:val="24"/>
          <w:szCs w:val="24"/>
        </w:rPr>
        <w:t>The u</w:t>
      </w:r>
      <w:r w:rsidRPr="00A019E1">
        <w:rPr>
          <w:rFonts w:ascii="Times New Roman" w:eastAsia="Times New Roman" w:hAnsi="Times New Roman" w:cs="Times New Roman"/>
          <w:sz w:val="24"/>
          <w:szCs w:val="24"/>
          <w:lang w:eastAsia="en-GB"/>
        </w:rPr>
        <w:t xml:space="preserve">niform pricing mechanism in most cases is used as a benchmark for comparison with different estimates of cost savings (Connor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2008). This is because the strategy of the uniform pricing rule is to bid at the bidders’ opportunity cost making it a perfect cost revelation mechanism (</w:t>
      </w:r>
      <w:r w:rsidRPr="00A019E1">
        <w:rPr>
          <w:rFonts w:ascii="Times New Roman" w:hAnsi="Times New Roman" w:cs="Times New Roman"/>
          <w:sz w:val="24"/>
          <w:szCs w:val="24"/>
        </w:rPr>
        <w:t>Schilizzi and Latacz-Lohmann, 2012) for offers close to the true opportunity costs over discriminatory pricing mechanism (</w:t>
      </w:r>
      <w:r w:rsidRPr="00A019E1">
        <w:rPr>
          <w:rFonts w:ascii="Times New Roman" w:eastAsia="Times New Roman" w:hAnsi="Times New Roman" w:cs="Times New Roman"/>
          <w:sz w:val="24"/>
          <w:szCs w:val="24"/>
          <w:lang w:eastAsia="en-GB"/>
        </w:rPr>
        <w:t>Cason and Gangadharan, 2005)</w:t>
      </w:r>
      <w:r w:rsidRPr="00A019E1">
        <w:rPr>
          <w:rFonts w:ascii="Times New Roman" w:hAnsi="Times New Roman" w:cs="Times New Roman"/>
          <w:sz w:val="24"/>
          <w:szCs w:val="24"/>
        </w:rPr>
        <w:t>. For real world policy auctions resulting from lab experiments, sellers receive market-clearing prices that exceed their offers set by a seller not involved in the actual trading (</w:t>
      </w:r>
      <w:r w:rsidRPr="00A019E1">
        <w:rPr>
          <w:rFonts w:ascii="Times New Roman" w:eastAsia="Times New Roman" w:hAnsi="Times New Roman" w:cs="Times New Roman"/>
          <w:sz w:val="24"/>
          <w:szCs w:val="24"/>
          <w:lang w:eastAsia="en-GB"/>
        </w:rPr>
        <w:t xml:space="preserve">Cason and Gangadharan, 2005). However, in some cases, uniform pricing rule leads </w:t>
      </w:r>
      <w:r w:rsidRPr="00A019E1">
        <w:rPr>
          <w:rFonts w:ascii="Times New Roman" w:hAnsi="Times New Roman" w:cs="Times New Roman"/>
          <w:sz w:val="24"/>
          <w:szCs w:val="24"/>
        </w:rPr>
        <w:t xml:space="preserve">to greater trade-offs between efficient and pro-poor targeting schemes (Jindal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2013).</w:t>
      </w:r>
      <w:r w:rsidRPr="00A019E1">
        <w:rPr>
          <w:rFonts w:ascii="Times New Roman" w:eastAsia="Times New Roman" w:hAnsi="Times New Roman" w:cs="Times New Roman"/>
          <w:sz w:val="24"/>
          <w:szCs w:val="24"/>
          <w:lang w:eastAsia="en-GB"/>
        </w:rPr>
        <w:t xml:space="preserve"> When combined with an environmental-based index, it is more efficient in targeting measures (Iho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2014). Boxall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(2013) report a superior performance for uniform pricing mechanism in a watershed experiment in Manitoba. However, on its own, it targets the cheapest land parcels which is less effective compared to aligning measures to the most suitable land parcels </w:t>
      </w:r>
      <w:bookmarkStart w:id="0" w:name="_Hlk102727063"/>
      <w:r w:rsidRPr="00A019E1">
        <w:rPr>
          <w:rFonts w:ascii="Times New Roman" w:eastAsia="Times New Roman" w:hAnsi="Times New Roman" w:cs="Times New Roman"/>
          <w:sz w:val="24"/>
          <w:szCs w:val="24"/>
          <w:lang w:eastAsia="en-GB"/>
        </w:rPr>
        <w:t xml:space="preserve">(Iho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2014)</w:t>
      </w:r>
      <w:bookmarkEnd w:id="0"/>
      <w:r w:rsidRPr="00A019E1">
        <w:rPr>
          <w:rFonts w:ascii="Times New Roman" w:eastAsia="Times New Roman" w:hAnsi="Times New Roman" w:cs="Times New Roman"/>
          <w:sz w:val="24"/>
          <w:szCs w:val="24"/>
          <w:lang w:eastAsia="en-GB"/>
        </w:rPr>
        <w:t xml:space="preserve">. </w:t>
      </w:r>
      <w:r w:rsidRPr="00A019E1">
        <w:rPr>
          <w:rFonts w:ascii="Times New Roman" w:hAnsi="Times New Roman" w:cs="Times New Roman"/>
          <w:sz w:val="24"/>
          <w:szCs w:val="24"/>
        </w:rPr>
        <w:t>It also leads to overcompensation and bid shading, resulting in lower participation rates</w:t>
      </w:r>
      <w:r w:rsidRPr="00A019E1">
        <w:rPr>
          <w:rFonts w:ascii="Times New Roman" w:hAnsi="Times New Roman" w:cs="Times New Roman"/>
        </w:rPr>
        <w:t xml:space="preserve"> </w:t>
      </w:r>
      <w:r w:rsidRPr="00A019E1">
        <w:rPr>
          <w:rFonts w:ascii="Times New Roman" w:hAnsi="Times New Roman" w:cs="Times New Roman"/>
          <w:sz w:val="24"/>
          <w:szCs w:val="24"/>
        </w:rPr>
        <w:t>and inefficient payment allocations (</w:t>
      </w:r>
      <w:r w:rsidRPr="00A019E1">
        <w:rPr>
          <w:rFonts w:ascii="Times New Roman" w:eastAsia="Times New Roman" w:hAnsi="Times New Roman" w:cs="Times New Roman"/>
          <w:sz w:val="24"/>
          <w:szCs w:val="24"/>
          <w:lang w:eastAsia="en-GB"/>
        </w:rPr>
        <w:t xml:space="preserve">Connor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2008; </w:t>
      </w:r>
      <w:r w:rsidRPr="00A019E1">
        <w:rPr>
          <w:rFonts w:ascii="Times New Roman" w:hAnsi="Times New Roman" w:cs="Times New Roman"/>
          <w:sz w:val="24"/>
          <w:szCs w:val="24"/>
        </w:rPr>
        <w:t xml:space="preserve">Jack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2008). </w:t>
      </w:r>
    </w:p>
    <w:p w14:paraId="1FB9357D" w14:textId="0007A659" w:rsidR="00A019E1" w:rsidRPr="00A019E1" w:rsidRDefault="00A019E1" w:rsidP="00A019E1">
      <w:pPr>
        <w:spacing w:line="360" w:lineRule="auto"/>
        <w:jc w:val="both"/>
        <w:rPr>
          <w:rFonts w:ascii="Times New Roman" w:hAnsi="Times New Roman" w:cs="Times New Roman"/>
          <w:sz w:val="24"/>
          <w:szCs w:val="24"/>
        </w:rPr>
      </w:pPr>
      <w:r w:rsidRPr="00A019E1">
        <w:rPr>
          <w:rFonts w:ascii="Times New Roman" w:eastAsia="Times New Roman" w:hAnsi="Times New Roman" w:cs="Times New Roman"/>
          <w:sz w:val="24"/>
          <w:szCs w:val="24"/>
          <w:lang w:eastAsia="en-GB"/>
        </w:rPr>
        <w:t xml:space="preserve">Discriminatory pricing rules lead to significant cost-savings over uniform pricing even after accounting for administration and monitoring costs (Hill </w:t>
      </w:r>
      <w:r w:rsidRPr="00A019E1">
        <w:rPr>
          <w:rFonts w:ascii="Times New Roman" w:eastAsia="Times New Roman" w:hAnsi="Times New Roman" w:cs="Times New Roman"/>
          <w:i/>
          <w:iCs/>
          <w:sz w:val="24"/>
          <w:szCs w:val="24"/>
          <w:lang w:eastAsia="en-GB"/>
        </w:rPr>
        <w:t>et al.</w:t>
      </w:r>
      <w:r w:rsidRPr="00A019E1">
        <w:rPr>
          <w:rFonts w:ascii="Times New Roman" w:eastAsia="Times New Roman" w:hAnsi="Times New Roman" w:cs="Times New Roman"/>
          <w:sz w:val="24"/>
          <w:szCs w:val="24"/>
          <w:lang w:eastAsia="en-GB"/>
        </w:rPr>
        <w:t xml:space="preserve"> 2011). It also leads to </w:t>
      </w:r>
      <w:r w:rsidRPr="00A019E1">
        <w:rPr>
          <w:rFonts w:ascii="Times New Roman" w:hAnsi="Times New Roman" w:cs="Times New Roman"/>
          <w:sz w:val="24"/>
          <w:szCs w:val="24"/>
        </w:rPr>
        <w:t>higher trade-offs of bid acceptance with higher trading surplus – where sellers bid higher amounts over the opportunity costs while risking not winning the bid (</w:t>
      </w:r>
      <w:r w:rsidRPr="00A019E1">
        <w:rPr>
          <w:rFonts w:ascii="Times New Roman" w:eastAsia="Times New Roman" w:hAnsi="Times New Roman" w:cs="Times New Roman"/>
          <w:sz w:val="24"/>
          <w:szCs w:val="24"/>
          <w:lang w:eastAsia="en-GB"/>
        </w:rPr>
        <w:t>Cason and Gangadharan, 2005)</w:t>
      </w:r>
      <w:r w:rsidRPr="00A019E1">
        <w:rPr>
          <w:rFonts w:ascii="Times New Roman" w:hAnsi="Times New Roman" w:cs="Times New Roman"/>
          <w:sz w:val="24"/>
          <w:szCs w:val="24"/>
        </w:rPr>
        <w:t>.</w:t>
      </w:r>
      <w:r w:rsidRPr="00A019E1">
        <w:rPr>
          <w:rFonts w:ascii="Times New Roman" w:eastAsia="Times New Roman" w:hAnsi="Times New Roman" w:cs="Times New Roman"/>
          <w:sz w:val="24"/>
          <w:szCs w:val="24"/>
          <w:lang w:eastAsia="en-GB"/>
        </w:rPr>
        <w:t xml:space="preserve"> Due to this, bidders in discriminant auctions face uncertainty about bid acceptance and not the price, since the offer that is paid is as bidded if the buyer accepts it (Cason and Gangadharan, 2005</w:t>
      </w:r>
      <w:r w:rsidR="00F92A37" w:rsidRPr="00A019E1">
        <w:rPr>
          <w:rFonts w:ascii="Times New Roman" w:eastAsia="Times New Roman" w:hAnsi="Times New Roman" w:cs="Times New Roman"/>
          <w:sz w:val="24"/>
          <w:szCs w:val="24"/>
          <w:lang w:eastAsia="en-GB"/>
        </w:rPr>
        <w:t>). Discriminant</w:t>
      </w:r>
      <w:r w:rsidRPr="00A019E1">
        <w:rPr>
          <w:rFonts w:ascii="Times New Roman" w:eastAsia="Times New Roman" w:hAnsi="Times New Roman" w:cs="Times New Roman"/>
          <w:sz w:val="24"/>
          <w:szCs w:val="24"/>
          <w:lang w:eastAsia="en-GB"/>
        </w:rPr>
        <w:t xml:space="preserve"> auctions offer higher additionality for contracted land with higher opportunity costs on average (</w:t>
      </w:r>
      <w:r w:rsidRPr="00A019E1">
        <w:rPr>
          <w:rFonts w:ascii="Times New Roman" w:hAnsi="Times New Roman" w:cs="Times New Roman"/>
          <w:sz w:val="24"/>
          <w:szCs w:val="24"/>
        </w:rPr>
        <w:t xml:space="preserve">Santos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2021). It also determines the overall market </w:t>
      </w:r>
      <w:r w:rsidRPr="00A019E1">
        <w:rPr>
          <w:rFonts w:ascii="Times New Roman" w:hAnsi="Times New Roman" w:cs="Times New Roman"/>
          <w:sz w:val="24"/>
          <w:szCs w:val="24"/>
        </w:rPr>
        <w:lastRenderedPageBreak/>
        <w:t>performance of the measures bidded (Caso and Gangadharan, 2004). Although it does not lead to over-compensation, its efficiency depends on the amounts of information rents extracted</w:t>
      </w:r>
      <w:r w:rsidRPr="00A019E1" w:rsidDel="00FE07D0">
        <w:rPr>
          <w:rFonts w:ascii="Times New Roman" w:hAnsi="Times New Roman" w:cs="Times New Roman"/>
          <w:sz w:val="24"/>
          <w:szCs w:val="24"/>
        </w:rPr>
        <w:t xml:space="preserve"> </w:t>
      </w:r>
      <w:r w:rsidRPr="00A019E1">
        <w:rPr>
          <w:rFonts w:ascii="Times New Roman" w:hAnsi="Times New Roman" w:cs="Times New Roman"/>
          <w:sz w:val="24"/>
          <w:szCs w:val="24"/>
        </w:rPr>
        <w:t xml:space="preserve">(Iho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2014). Further, in the discriminatory pricing rule bidders are presented with an incentive to shade their bids above costs (Schilizzi and Latacz-Lohmann, 2012). As a result, there is a high chance that accepted bids under the discriminatory price rule may contain an element of rent as they do not reflect true opportunity costs of bidders leading to reduced cost-effectiveness (Schilizzi and Latacz-Lohmann, 2012). </w:t>
      </w:r>
    </w:p>
    <w:p w14:paraId="1F45B4C2" w14:textId="77777777" w:rsidR="00A019E1" w:rsidRPr="00A019E1" w:rsidRDefault="00A019E1" w:rsidP="00A019E1">
      <w:pPr>
        <w:spacing w:line="360" w:lineRule="auto"/>
        <w:jc w:val="both"/>
        <w:rPr>
          <w:rFonts w:ascii="Times New Roman" w:eastAsia="Times New Roman" w:hAnsi="Times New Roman" w:cs="Times New Roman"/>
          <w:sz w:val="24"/>
          <w:szCs w:val="24"/>
          <w:lang w:eastAsia="en-GB"/>
        </w:rPr>
      </w:pPr>
      <w:r w:rsidRPr="00A019E1">
        <w:rPr>
          <w:rFonts w:ascii="Times New Roman" w:hAnsi="Times New Roman" w:cs="Times New Roman"/>
          <w:sz w:val="24"/>
          <w:szCs w:val="24"/>
        </w:rPr>
        <w:t xml:space="preserve">The bidding process has two dimensions – single round or multiple rounds/repeated/iterative auctions. Single round auctions understate the level of benefits across auction types particularly for CBR rule relative to discriminatory rule while at the same time hiding behaviour (Fooks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2015). Nevertheless, s</w:t>
      </w:r>
      <w:r w:rsidRPr="00A019E1">
        <w:rPr>
          <w:rFonts w:ascii="Times New Roman" w:eastAsia="Times New Roman" w:hAnsi="Times New Roman" w:cs="Times New Roman"/>
          <w:sz w:val="24"/>
          <w:szCs w:val="24"/>
          <w:lang w:eastAsia="en-GB"/>
        </w:rPr>
        <w:t xml:space="preserve">ingle-round discriminant auctions perform better on cost-effectiveness than the uniform pricing equivalent (Schilizzi and Latacz-Lohmann, 2012). </w:t>
      </w:r>
      <w:r w:rsidRPr="00A019E1">
        <w:rPr>
          <w:rFonts w:ascii="Times New Roman" w:hAnsi="Times New Roman" w:cs="Times New Roman"/>
          <w:sz w:val="24"/>
          <w:szCs w:val="24"/>
        </w:rPr>
        <w:t xml:space="preserve">Multiple rounds reveal hidden behaviour and are valuable for price discovery but may lead to reduced efficiency gains owing to high transaction costs (Rolfe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2009; Fooks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2015). If multiple rounds are applied in real-world scenarios, any lengthy delays (e.g. 6 months) in between rounds could result to lower participation in successive turns due to withdrawal or death of participants or sale of land (Hill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2011). Repeated auctions under discriminatory pricing rule increase cost-effectiveness in presence of asset specificity and higher additionality (Santos </w:t>
      </w:r>
      <w:r w:rsidRPr="00A019E1">
        <w:rPr>
          <w:rFonts w:ascii="Times New Roman" w:hAnsi="Times New Roman" w:cs="Times New Roman"/>
          <w:i/>
          <w:iCs/>
          <w:sz w:val="24"/>
          <w:szCs w:val="24"/>
        </w:rPr>
        <w:t xml:space="preserve">et al. </w:t>
      </w:r>
      <w:r w:rsidRPr="00A019E1">
        <w:rPr>
          <w:rFonts w:ascii="Times New Roman" w:hAnsi="Times New Roman" w:cs="Times New Roman"/>
          <w:sz w:val="24"/>
          <w:szCs w:val="24"/>
        </w:rPr>
        <w:t>2021) and may increase the cost-effectiveness of conservation contracts (Deng and Xu, 2015).</w:t>
      </w:r>
      <w:r w:rsidRPr="00A019E1">
        <w:rPr>
          <w:rFonts w:ascii="Times New Roman" w:eastAsia="Times New Roman" w:hAnsi="Times New Roman" w:cs="Times New Roman"/>
          <w:sz w:val="24"/>
          <w:szCs w:val="24"/>
          <w:lang w:eastAsia="en-GB"/>
        </w:rPr>
        <w:t xml:space="preserve"> However, cost-effectiveness has been shown to deteriorate if auctions are repeated over time because bidders can learn and adapt their strategies (</w:t>
      </w:r>
      <w:r w:rsidRPr="00A019E1">
        <w:rPr>
          <w:rFonts w:ascii="Times New Roman" w:hAnsi="Times New Roman" w:cs="Times New Roman"/>
          <w:sz w:val="24"/>
          <w:szCs w:val="24"/>
        </w:rPr>
        <w:t xml:space="preserve">Santos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2021). </w:t>
      </w:r>
    </w:p>
    <w:p w14:paraId="503440BB" w14:textId="77777777" w:rsidR="00A019E1" w:rsidRPr="00A019E1" w:rsidRDefault="00A019E1" w:rsidP="00A019E1">
      <w:pPr>
        <w:spacing w:line="360" w:lineRule="auto"/>
        <w:jc w:val="both"/>
        <w:rPr>
          <w:rFonts w:ascii="Times New Roman" w:hAnsi="Times New Roman" w:cs="Times New Roman"/>
          <w:sz w:val="24"/>
          <w:szCs w:val="24"/>
        </w:rPr>
      </w:pPr>
    </w:p>
    <w:p w14:paraId="7FA41FFE" w14:textId="77777777" w:rsidR="00A019E1" w:rsidRPr="00A019E1" w:rsidRDefault="00A019E1" w:rsidP="00A019E1">
      <w:pPr>
        <w:spacing w:line="360" w:lineRule="auto"/>
        <w:jc w:val="both"/>
        <w:rPr>
          <w:rFonts w:ascii="Times New Roman" w:hAnsi="Times New Roman" w:cs="Times New Roman"/>
          <w:b/>
          <w:bCs/>
          <w:sz w:val="24"/>
          <w:szCs w:val="24"/>
        </w:rPr>
      </w:pPr>
      <w:r w:rsidRPr="00A019E1">
        <w:rPr>
          <w:rFonts w:ascii="Times New Roman" w:hAnsi="Times New Roman" w:cs="Times New Roman"/>
          <w:b/>
          <w:bCs/>
          <w:sz w:val="24"/>
          <w:szCs w:val="24"/>
        </w:rPr>
        <w:t>3.3 Factors underlying bidder participation behaviour</w:t>
      </w:r>
    </w:p>
    <w:p w14:paraId="566C6036" w14:textId="77777777" w:rsidR="00A019E1" w:rsidRPr="00A019E1" w:rsidRDefault="00A019E1" w:rsidP="00A019E1">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Several factors determine how much bidders are motivated to participate in bidding. For instance, bidder behaviour depends on the amount of information about their costs known to the agency and the reputation of the agency (Santos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2021). The absence of information about the agency (i.e. government) preferences may increase sellers’ participation while high information rents mean less funds are available for conservation (Ch’ng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2013). In addition, whether the agency reveals information to sellers, the competitive edge created by the inclusion of private benefits in conservation and the pricing rule used to select the contract to determine bidders’ rent seeking behaviour (Cason and Gangadharan, 2004; Boxall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2013; Conte and Griffin, 2019). If the agency exposes low-income bidders to high costs and </w:t>
      </w:r>
      <w:r w:rsidRPr="00A019E1">
        <w:rPr>
          <w:rFonts w:ascii="Times New Roman" w:hAnsi="Times New Roman" w:cs="Times New Roman"/>
          <w:sz w:val="24"/>
          <w:szCs w:val="24"/>
        </w:rPr>
        <w:lastRenderedPageBreak/>
        <w:t xml:space="preserve">uncertainty resulting from a switch between high and low-priced parcels during bidding, lower participation may occur (Boxall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2017). Higher participation of bidders lead to low-cost contracts and lower conservation budgets and offers in future compensations (Santos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2021). A competitive market determines bidder response behaviour to the inclusion of private benefits from costly or less costly conservation practices (Conte and Griffin, 2019). In the short-term, adverse selection may occur due to asset specificity and bidders may sign contracts to accrue certain private benefits e.g. planting trees targeting the benefits of firewood (Santos </w:t>
      </w:r>
      <w:r w:rsidRPr="00A019E1">
        <w:rPr>
          <w:rFonts w:ascii="Times New Roman" w:hAnsi="Times New Roman" w:cs="Times New Roman"/>
          <w:i/>
          <w:iCs/>
          <w:sz w:val="24"/>
          <w:szCs w:val="24"/>
        </w:rPr>
        <w:t xml:space="preserve">et al. </w:t>
      </w:r>
      <w:r w:rsidRPr="00A019E1">
        <w:rPr>
          <w:rFonts w:ascii="Times New Roman" w:hAnsi="Times New Roman" w:cs="Times New Roman"/>
          <w:sz w:val="24"/>
          <w:szCs w:val="24"/>
        </w:rPr>
        <w:t xml:space="preserve">2021). </w:t>
      </w:r>
    </w:p>
    <w:p w14:paraId="16B3EB16" w14:textId="77777777" w:rsidR="00A019E1" w:rsidRPr="00A019E1" w:rsidRDefault="00A019E1" w:rsidP="00A019E1">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Further, the propensity of a bidder to retain higher markups rather than revise and resubmit a lower bid in an iteration is determined by whether they won a previous bid (Banerjee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2015). For spatial considerations, bidder preferences for spatially adjacent procurements depend on their level of exposure to spatial information and how their choices may affect other participants’ outcomes (Banerjee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2015). Some bidders’ willingness to participate may be discouraged by the length of the contracts, especially high-cost landowners who have lower probability of winning (Brown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2011; Comerford, 2014)</w:t>
      </w:r>
    </w:p>
    <w:p w14:paraId="0F4E5AF3" w14:textId="468E7292" w:rsidR="00A019E1" w:rsidRPr="00A019E1" w:rsidRDefault="00A019E1" w:rsidP="00A019E1">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Individual bidder-specific factors include education level where more educated participants especially in rural areas have a higher chance of bidding (Comerford, 2014). Younger participants are keener on the cos-effectiveness of the tender program than their counterparts (Doole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2014).  However, distrust between bidders and agency (i.e. government) decreases participation (Comerford, 2014). Trust is important in determining the effectiveness of auctions, communicating on the amount of wages and prices, and in defining contract relationship between an auctioneer and bidders (Vogt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2013). It is also important to understand family historical development and ownership structures of land as participants may have intentionally set low value production land aside which they may present to seem important for enrolment in the scheme (DePiper, 2015; Bond et al. 2018). Further, if participants perceive an auction as unfair and characterised by collusion, they may not participate (Doole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2014). Underfunding and lack of strong relationship between the agency and participants may negatively influence the participation of bidders (Doole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2014)</w:t>
      </w:r>
      <w:r w:rsidR="007F23B0">
        <w:rPr>
          <w:rFonts w:ascii="Times New Roman" w:hAnsi="Times New Roman" w:cs="Times New Roman"/>
          <w:sz w:val="24"/>
          <w:szCs w:val="24"/>
        </w:rPr>
        <w:t>.</w:t>
      </w:r>
    </w:p>
    <w:p w14:paraId="4C03D958" w14:textId="77777777" w:rsidR="00A019E1" w:rsidRPr="00A019E1" w:rsidRDefault="00A019E1" w:rsidP="00A019E1">
      <w:pPr>
        <w:spacing w:line="360" w:lineRule="auto"/>
        <w:jc w:val="both"/>
        <w:rPr>
          <w:rFonts w:ascii="Times New Roman" w:hAnsi="Times New Roman" w:cs="Times New Roman"/>
          <w:sz w:val="24"/>
          <w:szCs w:val="24"/>
        </w:rPr>
      </w:pPr>
    </w:p>
    <w:p w14:paraId="4AB5E03B" w14:textId="77777777" w:rsidR="00A019E1" w:rsidRPr="00A019E1" w:rsidRDefault="00A019E1" w:rsidP="00A019E1">
      <w:pPr>
        <w:spacing w:line="360" w:lineRule="auto"/>
        <w:jc w:val="both"/>
        <w:rPr>
          <w:rFonts w:ascii="Times New Roman" w:hAnsi="Times New Roman" w:cs="Times New Roman"/>
          <w:sz w:val="24"/>
          <w:szCs w:val="24"/>
        </w:rPr>
      </w:pPr>
    </w:p>
    <w:p w14:paraId="3E681A6A" w14:textId="77777777" w:rsidR="00A019E1" w:rsidRPr="00A019E1" w:rsidRDefault="00A019E1" w:rsidP="00A019E1">
      <w:pPr>
        <w:pStyle w:val="ListParagraph"/>
        <w:spacing w:line="360" w:lineRule="auto"/>
        <w:ind w:left="360"/>
        <w:jc w:val="both"/>
        <w:rPr>
          <w:rFonts w:ascii="Times New Roman" w:hAnsi="Times New Roman" w:cs="Times New Roman"/>
          <w:sz w:val="24"/>
          <w:szCs w:val="24"/>
        </w:rPr>
      </w:pPr>
    </w:p>
    <w:p w14:paraId="3ACA2C53" w14:textId="77777777" w:rsidR="00A019E1" w:rsidRPr="007853F0" w:rsidRDefault="00A019E1" w:rsidP="00A019E1">
      <w:pPr>
        <w:pStyle w:val="ListParagraph"/>
        <w:numPr>
          <w:ilvl w:val="0"/>
          <w:numId w:val="45"/>
        </w:numPr>
        <w:rPr>
          <w:rFonts w:ascii="Times New Roman" w:hAnsi="Times New Roman" w:cs="Times New Roman"/>
          <w:b/>
          <w:bCs/>
        </w:rPr>
      </w:pPr>
      <w:r w:rsidRPr="007853F0">
        <w:rPr>
          <w:rFonts w:ascii="Times New Roman" w:hAnsi="Times New Roman" w:cs="Times New Roman"/>
          <w:b/>
          <w:bCs/>
        </w:rPr>
        <w:lastRenderedPageBreak/>
        <w:t>Research Knowledge Gaps</w:t>
      </w:r>
    </w:p>
    <w:p w14:paraId="7913417E" w14:textId="77777777" w:rsidR="00A019E1" w:rsidRPr="00A019E1" w:rsidRDefault="00A019E1" w:rsidP="00A019E1">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Generally, our analysis reveals a lack of consensus on the amount and types of information provided to participants that is desirable for a more efficient conservation auction design without risking market competition. Further, it is not clear what factors determine whether conservation auction designs are effective PES mechanisms and if there are alternative ways of revealing hidden information between market players without opportunistic behaviour. Overall impression from the literature is that opportunistic behaviour in real-world scenario may also be impossible to eliminate given that communication does not occur in a vacuum.  </w:t>
      </w:r>
    </w:p>
    <w:p w14:paraId="72C47AB4" w14:textId="77777777" w:rsidR="00A019E1" w:rsidRPr="00A019E1" w:rsidRDefault="00A019E1" w:rsidP="00A019E1">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Other gaps include limited literature establishing the performance of reserve price and budget-based targeting, how individual behaviour changes relative to costs and bid shading under different auction dimensions (Boxall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2017). Opportunistic behaviour is a major concern in conservation auction design, it is, therefore, important in future research to</w:t>
      </w:r>
      <w:r w:rsidRPr="00A019E1">
        <w:rPr>
          <w:rFonts w:ascii="Times New Roman" w:hAnsi="Times New Roman" w:cs="Times New Roman"/>
        </w:rPr>
        <w:t xml:space="preserve"> </w:t>
      </w:r>
      <w:r w:rsidRPr="00A019E1">
        <w:rPr>
          <w:rFonts w:ascii="Times New Roman" w:hAnsi="Times New Roman" w:cs="Times New Roman"/>
          <w:sz w:val="24"/>
          <w:szCs w:val="24"/>
        </w:rPr>
        <w:t xml:space="preserve">incorporate a component in the model that accounts for the agency’s reputation and ability to enforce compliance with contracts (Santos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2021). Further, future research should focus on expanding market design to consider how and whether economic incentives underlying auction participation align with desired conservation outcomes more broadly e.g. for fisheries (DePiper, 2015). Research should also focus on investigating the dynamic effects of different budget targets and understanding of how different entry points during bidding rounds require adjustments to alleviate adverse selection (Fooks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2015). </w:t>
      </w:r>
    </w:p>
    <w:p w14:paraId="76A43603" w14:textId="77777777" w:rsidR="00A019E1" w:rsidRPr="00A019E1" w:rsidRDefault="00A019E1" w:rsidP="00A019E1">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Additionally, research should be undertaken to establish how different factors such as risk aversion and switching between different farm management scenarios may influence conservation auction outcomes (Iftekhar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2013). Beyond efficiency, fairness in targeting should be incorporated through the inclusion of spatial attributes to discourage unfairness and inequality issues, especially for bidders who are not neighbours in the targeted location (Narloch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2013; Lan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2021). In addition to cost-effectiveness, fairness through establishing how land tenure and power relations between bidders and conservation agency shape conservation costs should be established (Narloch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2013). Research is also required to address bilateralisation in reverse auction markets under incomplete information (Vogt </w:t>
      </w:r>
      <w:r w:rsidRPr="00A019E1">
        <w:rPr>
          <w:rFonts w:ascii="Times New Roman" w:hAnsi="Times New Roman" w:cs="Times New Roman"/>
          <w:i/>
          <w:iCs/>
          <w:sz w:val="24"/>
          <w:szCs w:val="24"/>
        </w:rPr>
        <w:t xml:space="preserve">et al. </w:t>
      </w:r>
      <w:r w:rsidRPr="00A019E1">
        <w:rPr>
          <w:rFonts w:ascii="Times New Roman" w:hAnsi="Times New Roman" w:cs="Times New Roman"/>
          <w:sz w:val="24"/>
          <w:szCs w:val="24"/>
        </w:rPr>
        <w:t xml:space="preserve">2013). </w:t>
      </w:r>
    </w:p>
    <w:p w14:paraId="14B8FD37" w14:textId="77777777" w:rsidR="00A019E1" w:rsidRPr="00A019E1" w:rsidRDefault="00A019E1" w:rsidP="00A019E1">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Heterogeneous payments are considered more efficient, however there is need to carry out research to assess whether agricultural returns in homogenous farms are more cost-effective over those with heterogeneity in seller opportunity costs (Narloch </w:t>
      </w:r>
      <w:r w:rsidRPr="00A019E1">
        <w:rPr>
          <w:rFonts w:ascii="Times New Roman" w:hAnsi="Times New Roman" w:cs="Times New Roman"/>
          <w:i/>
          <w:iCs/>
          <w:sz w:val="24"/>
          <w:szCs w:val="24"/>
        </w:rPr>
        <w:t xml:space="preserve">et al. </w:t>
      </w:r>
      <w:r w:rsidRPr="00A019E1">
        <w:rPr>
          <w:rFonts w:ascii="Times New Roman" w:hAnsi="Times New Roman" w:cs="Times New Roman"/>
          <w:sz w:val="24"/>
          <w:szCs w:val="24"/>
        </w:rPr>
        <w:t xml:space="preserve">2017).  Research on </w:t>
      </w:r>
      <w:r w:rsidRPr="00A019E1">
        <w:rPr>
          <w:rFonts w:ascii="Times New Roman" w:hAnsi="Times New Roman" w:cs="Times New Roman"/>
          <w:sz w:val="24"/>
          <w:szCs w:val="24"/>
        </w:rPr>
        <w:lastRenderedPageBreak/>
        <w:t>the relation between cost and quality is limited, as a result, there is a need to establish their correlation, especially through the auction process and how this can lead to adjustments to the bidding strategy for higher quality bid submissions (Conte and Griffin, 2017).</w:t>
      </w:r>
      <w:r w:rsidRPr="007853F0">
        <w:rPr>
          <w:rFonts w:ascii="Times New Roman" w:hAnsi="Times New Roman" w:cs="Times New Roman"/>
        </w:rPr>
        <w:t xml:space="preserve"> </w:t>
      </w:r>
      <w:r w:rsidRPr="00A019E1">
        <w:rPr>
          <w:rFonts w:ascii="Times New Roman" w:hAnsi="Times New Roman" w:cs="Times New Roman"/>
          <w:sz w:val="24"/>
          <w:szCs w:val="24"/>
        </w:rPr>
        <w:t>More specific to developing countries, it is important to carry out research more focused on understanding the advantages of using auctions to allocate payment for ecosystem contracts and explore the implication of ex-ante payments on compliance and enforcement costs, particularly in the long-term (Jindal et al. 2013).</w:t>
      </w:r>
    </w:p>
    <w:p w14:paraId="17D6DEA8" w14:textId="77777777" w:rsidR="00A019E1" w:rsidRPr="00A019E1" w:rsidRDefault="00A019E1" w:rsidP="00A019E1">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Further, the political perspective of property rights on the effectiveness of reverse auction are understudied (Arnold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2013). In countries where conservation auctions have been implemented, agencies have had to make choices between uniform and discriminatory pricing rules (Schilizzi and Latacz-Lohmann, 2012). However, the discriminatory price format is only suitable for political and transparency, but it is not necessarily because it is more cost-effective but because offers substantially exceed costs and each unit increase in cost is matched by a unit increase in the offer (Cason and Gangadharan, 2005; Schilizzi and Latacz-Lohmann, 2012). It is, therefore, important to quantify the differences in efficiency and cost-effectiveness under the two pricing rules and recommend the circumstances under which each is appropriate tool for policy making (Liu, 2021). </w:t>
      </w:r>
    </w:p>
    <w:p w14:paraId="292884EF" w14:textId="1F61D0E3" w:rsidR="00A019E1" w:rsidRPr="00A019E1" w:rsidRDefault="00A019E1" w:rsidP="00A019E1">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Participation is a key component of the cost-effectiveness of a conservation auction and there is need to carry out research that identifies (i) the specific participant group types, their motivations and disincentives to participate, (ii) factors and how the participation rates of absentee landowners and participants compare, and (iii) how information access, access to property and time constraints are addressed by the program (Bond </w:t>
      </w:r>
      <w:r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2018). Further, most of the offers are determined in laboratories and attempts are made to mimic real world situations but there is a risk of loss of efficiency if bidders are drawn different population e.g., </w:t>
      </w:r>
      <w:r w:rsidR="007F23B0" w:rsidRPr="00A019E1">
        <w:rPr>
          <w:rFonts w:ascii="Times New Roman" w:hAnsi="Times New Roman" w:cs="Times New Roman"/>
          <w:sz w:val="24"/>
          <w:szCs w:val="24"/>
        </w:rPr>
        <w:t>students’</w:t>
      </w:r>
      <w:r w:rsidRPr="00A019E1">
        <w:rPr>
          <w:rFonts w:ascii="Times New Roman" w:hAnsi="Times New Roman" w:cs="Times New Roman"/>
          <w:sz w:val="24"/>
          <w:szCs w:val="24"/>
        </w:rPr>
        <w:t xml:space="preserve"> population to represent landholders. Future research should enhance credibility of such auctions by drawing participants from the actual target population (Schilizzi and Latacz-Lohmann, 2012).</w:t>
      </w:r>
    </w:p>
    <w:p w14:paraId="12809D9E" w14:textId="77777777" w:rsidR="00A019E1" w:rsidRPr="00A019E1" w:rsidRDefault="00A019E1" w:rsidP="00A019E1">
      <w:pPr>
        <w:spacing w:line="360" w:lineRule="auto"/>
        <w:jc w:val="both"/>
        <w:rPr>
          <w:rFonts w:ascii="Times New Roman" w:hAnsi="Times New Roman" w:cs="Times New Roman"/>
          <w:sz w:val="24"/>
          <w:szCs w:val="24"/>
        </w:rPr>
      </w:pPr>
    </w:p>
    <w:p w14:paraId="6B2B733D" w14:textId="77777777" w:rsidR="00A019E1" w:rsidRPr="00A019E1" w:rsidRDefault="00A019E1" w:rsidP="00A019E1">
      <w:pPr>
        <w:spacing w:line="360" w:lineRule="auto"/>
        <w:jc w:val="both"/>
        <w:rPr>
          <w:rFonts w:ascii="Times New Roman" w:hAnsi="Times New Roman" w:cs="Times New Roman"/>
          <w:sz w:val="24"/>
          <w:szCs w:val="24"/>
        </w:rPr>
      </w:pPr>
    </w:p>
    <w:p w14:paraId="7CF0D7E1" w14:textId="77777777" w:rsidR="00A019E1" w:rsidRPr="00A019E1" w:rsidRDefault="00A019E1" w:rsidP="00A019E1">
      <w:pPr>
        <w:spacing w:line="360" w:lineRule="auto"/>
        <w:jc w:val="both"/>
        <w:rPr>
          <w:rFonts w:ascii="Times New Roman" w:hAnsi="Times New Roman" w:cs="Times New Roman"/>
          <w:sz w:val="24"/>
          <w:szCs w:val="24"/>
        </w:rPr>
      </w:pPr>
    </w:p>
    <w:p w14:paraId="3E96C228" w14:textId="77777777" w:rsidR="00A019E1" w:rsidRPr="00A019E1" w:rsidRDefault="00A019E1" w:rsidP="00A019E1">
      <w:pPr>
        <w:spacing w:line="360" w:lineRule="auto"/>
        <w:jc w:val="both"/>
        <w:rPr>
          <w:rFonts w:ascii="Times New Roman" w:hAnsi="Times New Roman" w:cs="Times New Roman"/>
          <w:sz w:val="24"/>
          <w:szCs w:val="24"/>
        </w:rPr>
      </w:pPr>
    </w:p>
    <w:p w14:paraId="38A35644" w14:textId="77777777" w:rsidR="00A019E1" w:rsidRPr="00A019E1" w:rsidRDefault="00A019E1" w:rsidP="00A019E1">
      <w:pPr>
        <w:spacing w:line="360" w:lineRule="auto"/>
        <w:jc w:val="both"/>
        <w:rPr>
          <w:rFonts w:ascii="Times New Roman" w:hAnsi="Times New Roman" w:cs="Times New Roman"/>
          <w:b/>
          <w:bCs/>
          <w:sz w:val="24"/>
          <w:szCs w:val="24"/>
        </w:rPr>
      </w:pPr>
      <w:r w:rsidRPr="00A019E1">
        <w:rPr>
          <w:rFonts w:ascii="Times New Roman" w:hAnsi="Times New Roman" w:cs="Times New Roman"/>
          <w:b/>
          <w:bCs/>
          <w:sz w:val="24"/>
          <w:szCs w:val="24"/>
        </w:rPr>
        <w:lastRenderedPageBreak/>
        <w:t>References</w:t>
      </w:r>
    </w:p>
    <w:p w14:paraId="6D315175" w14:textId="77777777" w:rsidR="00A019E1" w:rsidRPr="00A019E1" w:rsidRDefault="00A019E1" w:rsidP="00A019E1">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t xml:space="preserve">Arksey, H. and O’Malley, L. (2005). Scoping studies: Towards a methodological framework. International Journal of Social Research Methodology: Theory and Practice, 8(1), 19–32. </w:t>
      </w:r>
    </w:p>
    <w:p w14:paraId="180EDEC8" w14:textId="43EEDD2F" w:rsidR="00A019E1" w:rsidRPr="00A019E1" w:rsidRDefault="00A019E1" w:rsidP="00A019E1">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t>Arnold, M.A., Duke, J.M.</w:t>
      </w:r>
      <w:r w:rsidR="00F92A37">
        <w:rPr>
          <w:rFonts w:ascii="Times New Roman" w:hAnsi="Times New Roman" w:cs="Times New Roman"/>
          <w:sz w:val="24"/>
          <w:szCs w:val="24"/>
        </w:rPr>
        <w:t xml:space="preserve"> and </w:t>
      </w:r>
      <w:r w:rsidRPr="00A019E1">
        <w:rPr>
          <w:rFonts w:ascii="Times New Roman" w:hAnsi="Times New Roman" w:cs="Times New Roman"/>
          <w:sz w:val="24"/>
          <w:szCs w:val="24"/>
        </w:rPr>
        <w:t xml:space="preserve">Messer, K.D. </w:t>
      </w:r>
      <w:r w:rsidR="00F92A37">
        <w:rPr>
          <w:rFonts w:ascii="Times New Roman" w:hAnsi="Times New Roman" w:cs="Times New Roman"/>
          <w:sz w:val="24"/>
          <w:szCs w:val="24"/>
        </w:rPr>
        <w:t>(</w:t>
      </w:r>
      <w:r w:rsidRPr="00A019E1">
        <w:rPr>
          <w:rFonts w:ascii="Times New Roman" w:hAnsi="Times New Roman" w:cs="Times New Roman"/>
          <w:sz w:val="24"/>
          <w:szCs w:val="24"/>
        </w:rPr>
        <w:t>2013</w:t>
      </w:r>
      <w:r w:rsidR="00F92A37">
        <w:rPr>
          <w:rFonts w:ascii="Times New Roman" w:hAnsi="Times New Roman" w:cs="Times New Roman"/>
          <w:sz w:val="24"/>
          <w:szCs w:val="24"/>
        </w:rPr>
        <w:t>)</w:t>
      </w:r>
      <w:r w:rsidRPr="00A019E1">
        <w:rPr>
          <w:rFonts w:ascii="Times New Roman" w:hAnsi="Times New Roman" w:cs="Times New Roman"/>
          <w:sz w:val="24"/>
          <w:szCs w:val="24"/>
        </w:rPr>
        <w:t>. Adverse Selection in Reverse Auctions for Ecosystem Services.  Land Economics, 89 (3), 387-412.</w:t>
      </w:r>
    </w:p>
    <w:p w14:paraId="0D855A14" w14:textId="110F3167" w:rsidR="00A019E1" w:rsidRPr="0040442F" w:rsidRDefault="00A019E1" w:rsidP="00A019E1">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t>Banerjee, S., Kwasnica, A.M.</w:t>
      </w:r>
      <w:r w:rsidR="00F92A37">
        <w:rPr>
          <w:rFonts w:ascii="Times New Roman" w:hAnsi="Times New Roman" w:cs="Times New Roman"/>
          <w:sz w:val="24"/>
          <w:szCs w:val="24"/>
        </w:rPr>
        <w:t xml:space="preserve"> and </w:t>
      </w:r>
      <w:r w:rsidRPr="00A019E1">
        <w:rPr>
          <w:rFonts w:ascii="Times New Roman" w:hAnsi="Times New Roman" w:cs="Times New Roman"/>
          <w:sz w:val="24"/>
          <w:szCs w:val="24"/>
        </w:rPr>
        <w:t>Shortle, J.S.</w:t>
      </w:r>
      <w:r w:rsidR="00F92A37">
        <w:rPr>
          <w:rFonts w:ascii="Times New Roman" w:hAnsi="Times New Roman" w:cs="Times New Roman"/>
          <w:sz w:val="24"/>
          <w:szCs w:val="24"/>
        </w:rPr>
        <w:t xml:space="preserve"> (</w:t>
      </w:r>
      <w:r w:rsidRPr="00A019E1">
        <w:rPr>
          <w:rFonts w:ascii="Times New Roman" w:hAnsi="Times New Roman" w:cs="Times New Roman"/>
          <w:sz w:val="24"/>
          <w:szCs w:val="24"/>
        </w:rPr>
        <w:t>2015</w:t>
      </w:r>
      <w:r w:rsidR="00F92A37">
        <w:rPr>
          <w:rFonts w:ascii="Times New Roman" w:hAnsi="Times New Roman" w:cs="Times New Roman"/>
          <w:sz w:val="24"/>
          <w:szCs w:val="24"/>
        </w:rPr>
        <w:t>)</w:t>
      </w:r>
      <w:r w:rsidRPr="00A019E1">
        <w:rPr>
          <w:rFonts w:ascii="Times New Roman" w:hAnsi="Times New Roman" w:cs="Times New Roman"/>
          <w:sz w:val="24"/>
          <w:szCs w:val="24"/>
        </w:rPr>
        <w:t>.</w:t>
      </w:r>
      <w:r w:rsidR="00F92A37">
        <w:rPr>
          <w:rFonts w:ascii="Times New Roman" w:hAnsi="Times New Roman" w:cs="Times New Roman"/>
          <w:sz w:val="24"/>
          <w:szCs w:val="24"/>
        </w:rPr>
        <w:t xml:space="preserve"> </w:t>
      </w:r>
      <w:r w:rsidRPr="00A019E1">
        <w:rPr>
          <w:rFonts w:ascii="Times New Roman" w:hAnsi="Times New Roman" w:cs="Times New Roman"/>
          <w:sz w:val="24"/>
          <w:szCs w:val="24"/>
        </w:rPr>
        <w:t xml:space="preserve">Information and Auction Performance: A Laboratory Study of Conservation Auctions for Spatially Contiguous Land Management. </w:t>
      </w:r>
      <w:r w:rsidRPr="0040442F">
        <w:rPr>
          <w:rFonts w:ascii="Times New Roman" w:hAnsi="Times New Roman" w:cs="Times New Roman"/>
          <w:sz w:val="24"/>
          <w:szCs w:val="24"/>
        </w:rPr>
        <w:t>Environ Resource Economics, 61:409-431.</w:t>
      </w:r>
    </w:p>
    <w:p w14:paraId="4FDD6650" w14:textId="2BDCD86F" w:rsidR="00A019E1" w:rsidRPr="00A019E1" w:rsidRDefault="00A019E1" w:rsidP="00A019E1">
      <w:pPr>
        <w:spacing w:after="0" w:line="360" w:lineRule="auto"/>
        <w:ind w:left="720" w:hanging="720"/>
        <w:jc w:val="both"/>
        <w:rPr>
          <w:rFonts w:ascii="Times New Roman" w:hAnsi="Times New Roman" w:cs="Times New Roman"/>
          <w:sz w:val="24"/>
          <w:szCs w:val="24"/>
        </w:rPr>
      </w:pPr>
      <w:r w:rsidRPr="00F92A37">
        <w:rPr>
          <w:rFonts w:ascii="Times New Roman" w:hAnsi="Times New Roman" w:cs="Times New Roman"/>
          <w:sz w:val="24"/>
          <w:szCs w:val="24"/>
        </w:rPr>
        <w:t>Blackmore, L., Doole, G.</w:t>
      </w:r>
      <w:r w:rsidR="00F92A37" w:rsidRPr="00F92A37">
        <w:rPr>
          <w:rFonts w:ascii="Times New Roman" w:hAnsi="Times New Roman" w:cs="Times New Roman"/>
          <w:sz w:val="24"/>
          <w:szCs w:val="24"/>
        </w:rPr>
        <w:t xml:space="preserve"> And </w:t>
      </w:r>
      <w:r w:rsidRPr="00F92A37">
        <w:rPr>
          <w:rFonts w:ascii="Times New Roman" w:hAnsi="Times New Roman" w:cs="Times New Roman"/>
          <w:sz w:val="24"/>
          <w:szCs w:val="24"/>
        </w:rPr>
        <w:t>Schilizzi, S.</w:t>
      </w:r>
      <w:r w:rsidR="00F92A37">
        <w:rPr>
          <w:rFonts w:ascii="Times New Roman" w:hAnsi="Times New Roman" w:cs="Times New Roman"/>
          <w:sz w:val="24"/>
          <w:szCs w:val="24"/>
        </w:rPr>
        <w:t xml:space="preserve"> (</w:t>
      </w:r>
      <w:r w:rsidRPr="00F92A37">
        <w:rPr>
          <w:rFonts w:ascii="Times New Roman" w:hAnsi="Times New Roman" w:cs="Times New Roman"/>
          <w:sz w:val="24"/>
          <w:szCs w:val="24"/>
        </w:rPr>
        <w:t>2014</w:t>
      </w:r>
      <w:r w:rsidR="00F92A37">
        <w:rPr>
          <w:rFonts w:ascii="Times New Roman" w:hAnsi="Times New Roman" w:cs="Times New Roman"/>
          <w:sz w:val="24"/>
          <w:szCs w:val="24"/>
        </w:rPr>
        <w:t>)</w:t>
      </w:r>
      <w:r w:rsidRPr="00F92A37">
        <w:rPr>
          <w:rFonts w:ascii="Times New Roman" w:hAnsi="Times New Roman" w:cs="Times New Roman"/>
          <w:sz w:val="24"/>
          <w:szCs w:val="24"/>
        </w:rPr>
        <w:t xml:space="preserve">. </w:t>
      </w:r>
      <w:r w:rsidRPr="00A019E1">
        <w:rPr>
          <w:rFonts w:ascii="Times New Roman" w:hAnsi="Times New Roman" w:cs="Times New Roman"/>
          <w:sz w:val="24"/>
          <w:szCs w:val="24"/>
          <w:lang w:val="fr-FR"/>
        </w:rPr>
        <w:t xml:space="preserve">Practitioner versus participant perspectives on conservation tenders. </w:t>
      </w:r>
      <w:r w:rsidRPr="00A019E1">
        <w:rPr>
          <w:rFonts w:ascii="Times New Roman" w:hAnsi="Times New Roman" w:cs="Times New Roman"/>
          <w:sz w:val="24"/>
          <w:szCs w:val="24"/>
        </w:rPr>
        <w:t>Biodiversity Conservation,23, 2033-2052.</w:t>
      </w:r>
    </w:p>
    <w:p w14:paraId="7BAAFBFA" w14:textId="70AFDB7F" w:rsidR="00A019E1" w:rsidRPr="00A019E1" w:rsidRDefault="00A019E1" w:rsidP="00A019E1">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t>Boxall, P.C., Perger, O.</w:t>
      </w:r>
      <w:r w:rsidR="00F92A37">
        <w:rPr>
          <w:rFonts w:ascii="Times New Roman" w:hAnsi="Times New Roman" w:cs="Times New Roman"/>
          <w:sz w:val="24"/>
          <w:szCs w:val="24"/>
        </w:rPr>
        <w:t xml:space="preserve"> and </w:t>
      </w:r>
      <w:r w:rsidRPr="00A019E1">
        <w:rPr>
          <w:rFonts w:ascii="Times New Roman" w:hAnsi="Times New Roman" w:cs="Times New Roman"/>
          <w:sz w:val="24"/>
          <w:szCs w:val="24"/>
        </w:rPr>
        <w:t xml:space="preserve">Weber, M. </w:t>
      </w:r>
      <w:r w:rsidR="00F92A37">
        <w:rPr>
          <w:rFonts w:ascii="Times New Roman" w:hAnsi="Times New Roman" w:cs="Times New Roman"/>
          <w:sz w:val="24"/>
          <w:szCs w:val="24"/>
        </w:rPr>
        <w:t>(2</w:t>
      </w:r>
      <w:r w:rsidRPr="00A019E1">
        <w:rPr>
          <w:rFonts w:ascii="Times New Roman" w:hAnsi="Times New Roman" w:cs="Times New Roman"/>
          <w:sz w:val="24"/>
          <w:szCs w:val="24"/>
        </w:rPr>
        <w:t>017</w:t>
      </w:r>
      <w:r w:rsidR="00F92A37">
        <w:rPr>
          <w:rFonts w:ascii="Times New Roman" w:hAnsi="Times New Roman" w:cs="Times New Roman"/>
          <w:sz w:val="24"/>
          <w:szCs w:val="24"/>
        </w:rPr>
        <w:t>)</w:t>
      </w:r>
      <w:r w:rsidRPr="00A019E1">
        <w:rPr>
          <w:rFonts w:ascii="Times New Roman" w:hAnsi="Times New Roman" w:cs="Times New Roman"/>
          <w:sz w:val="24"/>
          <w:szCs w:val="24"/>
        </w:rPr>
        <w:t>.</w:t>
      </w:r>
      <w:r w:rsidR="00F92A37">
        <w:rPr>
          <w:rFonts w:ascii="Times New Roman" w:hAnsi="Times New Roman" w:cs="Times New Roman"/>
          <w:sz w:val="24"/>
          <w:szCs w:val="24"/>
        </w:rPr>
        <w:t xml:space="preserve"> </w:t>
      </w:r>
      <w:r w:rsidRPr="00A019E1">
        <w:rPr>
          <w:rFonts w:ascii="Times New Roman" w:hAnsi="Times New Roman" w:cs="Times New Roman"/>
          <w:sz w:val="24"/>
          <w:szCs w:val="24"/>
        </w:rPr>
        <w:t>An experimental examination of target-based conservation auctions. Land Use Policy, 63, 592-600.</w:t>
      </w:r>
    </w:p>
    <w:p w14:paraId="69919BC1" w14:textId="1B08E2A2" w:rsidR="00A019E1" w:rsidRPr="00A019E1" w:rsidRDefault="00A019E1" w:rsidP="00A019E1">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t>Brown, L.K., Troutt, E., Edwards, C., Gray, B.</w:t>
      </w:r>
      <w:r w:rsidR="005E470A">
        <w:rPr>
          <w:rFonts w:ascii="Times New Roman" w:hAnsi="Times New Roman" w:cs="Times New Roman"/>
          <w:sz w:val="24"/>
          <w:szCs w:val="24"/>
        </w:rPr>
        <w:t xml:space="preserve"> and </w:t>
      </w:r>
      <w:r w:rsidRPr="00A019E1">
        <w:rPr>
          <w:rFonts w:ascii="Times New Roman" w:hAnsi="Times New Roman" w:cs="Times New Roman"/>
          <w:sz w:val="24"/>
          <w:szCs w:val="24"/>
        </w:rPr>
        <w:t xml:space="preserve">Hu, W. </w:t>
      </w:r>
      <w:r w:rsidR="00F92A37">
        <w:rPr>
          <w:rFonts w:ascii="Times New Roman" w:hAnsi="Times New Roman" w:cs="Times New Roman"/>
          <w:sz w:val="24"/>
          <w:szCs w:val="24"/>
        </w:rPr>
        <w:t>(</w:t>
      </w:r>
      <w:r w:rsidRPr="00A019E1">
        <w:rPr>
          <w:rFonts w:ascii="Times New Roman" w:hAnsi="Times New Roman" w:cs="Times New Roman"/>
          <w:sz w:val="24"/>
          <w:szCs w:val="24"/>
        </w:rPr>
        <w:t>2011</w:t>
      </w:r>
      <w:r w:rsidR="00F92A37">
        <w:rPr>
          <w:rFonts w:ascii="Times New Roman" w:hAnsi="Times New Roman" w:cs="Times New Roman"/>
          <w:sz w:val="24"/>
          <w:szCs w:val="24"/>
        </w:rPr>
        <w:t>)</w:t>
      </w:r>
      <w:r w:rsidRPr="00A019E1">
        <w:rPr>
          <w:rFonts w:ascii="Times New Roman" w:hAnsi="Times New Roman" w:cs="Times New Roman"/>
          <w:sz w:val="24"/>
          <w:szCs w:val="24"/>
        </w:rPr>
        <w:t>.</w:t>
      </w:r>
      <w:r w:rsidR="00F92A37">
        <w:rPr>
          <w:rFonts w:ascii="Times New Roman" w:hAnsi="Times New Roman" w:cs="Times New Roman"/>
          <w:sz w:val="24"/>
          <w:szCs w:val="24"/>
        </w:rPr>
        <w:t xml:space="preserve"> </w:t>
      </w:r>
      <w:r w:rsidRPr="00A019E1">
        <w:rPr>
          <w:rFonts w:ascii="Times New Roman" w:hAnsi="Times New Roman" w:cs="Times New Roman"/>
          <w:sz w:val="24"/>
          <w:szCs w:val="24"/>
        </w:rPr>
        <w:t>A Uniform Price Auction for Conservation Easements in the Canadian Prairies. Environ Resource Econ, 50:49–60.</w:t>
      </w:r>
    </w:p>
    <w:p w14:paraId="121137B9" w14:textId="2AC871D8" w:rsidR="00A019E1" w:rsidRPr="00A019E1" w:rsidRDefault="00A019E1" w:rsidP="00A019E1">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t>Bond, A.J., O'Connor, P.J.</w:t>
      </w:r>
      <w:r w:rsidR="005E470A">
        <w:rPr>
          <w:rFonts w:ascii="Times New Roman" w:hAnsi="Times New Roman" w:cs="Times New Roman"/>
          <w:sz w:val="24"/>
          <w:szCs w:val="24"/>
        </w:rPr>
        <w:t xml:space="preserve"> and</w:t>
      </w:r>
      <w:r w:rsidRPr="00A019E1">
        <w:rPr>
          <w:rFonts w:ascii="Times New Roman" w:hAnsi="Times New Roman" w:cs="Times New Roman"/>
          <w:sz w:val="24"/>
          <w:szCs w:val="24"/>
        </w:rPr>
        <w:t xml:space="preserve"> Cavagnaro, T.R. </w:t>
      </w:r>
      <w:r w:rsidR="005E470A">
        <w:rPr>
          <w:rFonts w:ascii="Times New Roman" w:hAnsi="Times New Roman" w:cs="Times New Roman"/>
          <w:sz w:val="24"/>
          <w:szCs w:val="24"/>
        </w:rPr>
        <w:t>(</w:t>
      </w:r>
      <w:r w:rsidRPr="00A019E1">
        <w:rPr>
          <w:rFonts w:ascii="Times New Roman" w:hAnsi="Times New Roman" w:cs="Times New Roman"/>
          <w:sz w:val="24"/>
          <w:szCs w:val="24"/>
        </w:rPr>
        <w:t>2018</w:t>
      </w:r>
      <w:r w:rsidR="005E470A">
        <w:rPr>
          <w:rFonts w:ascii="Times New Roman" w:hAnsi="Times New Roman" w:cs="Times New Roman"/>
          <w:sz w:val="24"/>
          <w:szCs w:val="24"/>
        </w:rPr>
        <w:t>)</w:t>
      </w:r>
      <w:r w:rsidRPr="00A019E1">
        <w:rPr>
          <w:rFonts w:ascii="Times New Roman" w:hAnsi="Times New Roman" w:cs="Times New Roman"/>
          <w:sz w:val="24"/>
          <w:szCs w:val="24"/>
        </w:rPr>
        <w:t>. Who participates in conservation incentive programs? Absentee and group landholders are in the mix. Land Use Policy, 72, 410-419.</w:t>
      </w:r>
    </w:p>
    <w:p w14:paraId="39936A4E" w14:textId="2208D279" w:rsidR="00A019E1" w:rsidRPr="00A019E1" w:rsidRDefault="00A019E1" w:rsidP="00A019E1">
      <w:pPr>
        <w:spacing w:after="0" w:line="360" w:lineRule="auto"/>
        <w:ind w:left="720" w:hanging="720"/>
        <w:jc w:val="both"/>
        <w:rPr>
          <w:rFonts w:ascii="Times New Roman" w:hAnsi="Times New Roman" w:cs="Times New Roman"/>
          <w:sz w:val="24"/>
          <w:szCs w:val="24"/>
        </w:rPr>
      </w:pPr>
      <w:r w:rsidRPr="005E470A">
        <w:rPr>
          <w:rFonts w:ascii="Times New Roman" w:hAnsi="Times New Roman" w:cs="Times New Roman"/>
          <w:sz w:val="24"/>
          <w:szCs w:val="24"/>
        </w:rPr>
        <w:t>Cason, T.N.</w:t>
      </w:r>
      <w:r w:rsidR="005E470A" w:rsidRPr="005E470A">
        <w:rPr>
          <w:rFonts w:ascii="Times New Roman" w:hAnsi="Times New Roman" w:cs="Times New Roman"/>
          <w:sz w:val="24"/>
          <w:szCs w:val="24"/>
        </w:rPr>
        <w:t xml:space="preserve"> and</w:t>
      </w:r>
      <w:r w:rsidRPr="005E470A">
        <w:rPr>
          <w:rFonts w:ascii="Times New Roman" w:hAnsi="Times New Roman" w:cs="Times New Roman"/>
          <w:sz w:val="24"/>
          <w:szCs w:val="24"/>
        </w:rPr>
        <w:t xml:space="preserve"> Gangadharan, L.</w:t>
      </w:r>
      <w:r w:rsidR="005E470A">
        <w:rPr>
          <w:rFonts w:ascii="Times New Roman" w:hAnsi="Times New Roman" w:cs="Times New Roman"/>
          <w:sz w:val="24"/>
          <w:szCs w:val="24"/>
        </w:rPr>
        <w:t xml:space="preserve"> (</w:t>
      </w:r>
      <w:r w:rsidRPr="005E470A">
        <w:rPr>
          <w:rFonts w:ascii="Times New Roman" w:hAnsi="Times New Roman" w:cs="Times New Roman"/>
          <w:sz w:val="24"/>
          <w:szCs w:val="24"/>
        </w:rPr>
        <w:t>2004</w:t>
      </w:r>
      <w:r w:rsidR="005E470A">
        <w:rPr>
          <w:rFonts w:ascii="Times New Roman" w:hAnsi="Times New Roman" w:cs="Times New Roman"/>
          <w:sz w:val="24"/>
          <w:szCs w:val="24"/>
        </w:rPr>
        <w:t>)</w:t>
      </w:r>
      <w:r w:rsidRPr="005E470A">
        <w:rPr>
          <w:rFonts w:ascii="Times New Roman" w:hAnsi="Times New Roman" w:cs="Times New Roman"/>
          <w:sz w:val="24"/>
          <w:szCs w:val="24"/>
        </w:rPr>
        <w:t xml:space="preserve">. </w:t>
      </w:r>
      <w:r w:rsidRPr="00A019E1">
        <w:rPr>
          <w:rFonts w:ascii="Times New Roman" w:hAnsi="Times New Roman" w:cs="Times New Roman"/>
          <w:sz w:val="24"/>
          <w:szCs w:val="24"/>
        </w:rPr>
        <w:t>Auction design for voluntary conservation programs. American Agricultural Economics Association, 86(5):1211-1217.</w:t>
      </w:r>
    </w:p>
    <w:p w14:paraId="384EA273" w14:textId="30030E6F" w:rsidR="00A019E1" w:rsidRPr="00A019E1" w:rsidRDefault="00A019E1" w:rsidP="005E470A">
      <w:pPr>
        <w:spacing w:after="0" w:line="360" w:lineRule="auto"/>
        <w:ind w:left="720" w:hanging="720"/>
        <w:jc w:val="both"/>
        <w:rPr>
          <w:rFonts w:ascii="Times New Roman" w:hAnsi="Times New Roman" w:cs="Times New Roman"/>
          <w:sz w:val="24"/>
          <w:szCs w:val="24"/>
        </w:rPr>
      </w:pPr>
      <w:r w:rsidRPr="005E470A">
        <w:rPr>
          <w:rFonts w:ascii="Times New Roman" w:hAnsi="Times New Roman" w:cs="Times New Roman"/>
          <w:sz w:val="24"/>
          <w:szCs w:val="24"/>
        </w:rPr>
        <w:t>Cason, T.N.</w:t>
      </w:r>
      <w:r w:rsidR="005E470A" w:rsidRPr="005E470A">
        <w:rPr>
          <w:rFonts w:ascii="Times New Roman" w:hAnsi="Times New Roman" w:cs="Times New Roman"/>
          <w:sz w:val="24"/>
          <w:szCs w:val="24"/>
        </w:rPr>
        <w:t xml:space="preserve"> and</w:t>
      </w:r>
      <w:r w:rsidRPr="005E470A">
        <w:rPr>
          <w:rFonts w:ascii="Times New Roman" w:hAnsi="Times New Roman" w:cs="Times New Roman"/>
          <w:sz w:val="24"/>
          <w:szCs w:val="24"/>
        </w:rPr>
        <w:t xml:space="preserve"> Gangadharan, L.</w:t>
      </w:r>
      <w:r w:rsidR="005E470A">
        <w:rPr>
          <w:rFonts w:ascii="Times New Roman" w:hAnsi="Times New Roman" w:cs="Times New Roman"/>
          <w:sz w:val="24"/>
          <w:szCs w:val="24"/>
        </w:rPr>
        <w:t xml:space="preserve"> (</w:t>
      </w:r>
      <w:r w:rsidRPr="005E470A">
        <w:rPr>
          <w:rFonts w:ascii="Times New Roman" w:hAnsi="Times New Roman" w:cs="Times New Roman"/>
          <w:sz w:val="24"/>
          <w:szCs w:val="24"/>
        </w:rPr>
        <w:t>2005</w:t>
      </w:r>
      <w:r w:rsidR="005E470A">
        <w:rPr>
          <w:rFonts w:ascii="Times New Roman" w:hAnsi="Times New Roman" w:cs="Times New Roman"/>
          <w:sz w:val="24"/>
          <w:szCs w:val="24"/>
        </w:rPr>
        <w:t>)</w:t>
      </w:r>
      <w:r w:rsidRPr="005E470A">
        <w:rPr>
          <w:rFonts w:ascii="Times New Roman" w:hAnsi="Times New Roman" w:cs="Times New Roman"/>
          <w:sz w:val="24"/>
          <w:szCs w:val="24"/>
        </w:rPr>
        <w:t xml:space="preserve">. </w:t>
      </w:r>
      <w:r w:rsidRPr="00A019E1">
        <w:rPr>
          <w:rFonts w:ascii="Times New Roman" w:hAnsi="Times New Roman" w:cs="Times New Roman"/>
          <w:sz w:val="24"/>
          <w:szCs w:val="24"/>
        </w:rPr>
        <w:t>A Laboratory Comparison of Uniform and Discriminative Price Auctions for Reducing</w:t>
      </w:r>
      <w:r w:rsidRPr="00A019E1">
        <w:rPr>
          <w:rFonts w:ascii="Times New Roman" w:hAnsi="Times New Roman" w:cs="Times New Roman"/>
          <w:sz w:val="24"/>
          <w:szCs w:val="24"/>
        </w:rPr>
        <w:br/>
        <w:t>Non-point Source Pollution. Land Economics, 81(1): 51-70.</w:t>
      </w:r>
    </w:p>
    <w:p w14:paraId="3BBAF11E" w14:textId="0E6A280E" w:rsidR="00A019E1" w:rsidRPr="00A019E1" w:rsidRDefault="00A019E1" w:rsidP="00A019E1">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t>Ch'ng, K.S., Khoo, S.L.</w:t>
      </w:r>
      <w:r w:rsidR="005E470A">
        <w:rPr>
          <w:rFonts w:ascii="Times New Roman" w:hAnsi="Times New Roman" w:cs="Times New Roman"/>
          <w:sz w:val="24"/>
          <w:szCs w:val="24"/>
        </w:rPr>
        <w:t xml:space="preserve"> and </w:t>
      </w:r>
      <w:r w:rsidRPr="00A019E1">
        <w:rPr>
          <w:rFonts w:ascii="Times New Roman" w:hAnsi="Times New Roman" w:cs="Times New Roman"/>
          <w:sz w:val="24"/>
          <w:szCs w:val="24"/>
        </w:rPr>
        <w:t>Lim, Y.M.</w:t>
      </w:r>
      <w:r w:rsidR="005E470A">
        <w:rPr>
          <w:rFonts w:ascii="Times New Roman" w:hAnsi="Times New Roman" w:cs="Times New Roman"/>
          <w:sz w:val="24"/>
          <w:szCs w:val="24"/>
        </w:rPr>
        <w:t xml:space="preserve"> (</w:t>
      </w:r>
      <w:r w:rsidRPr="00A019E1">
        <w:rPr>
          <w:rFonts w:ascii="Times New Roman" w:hAnsi="Times New Roman" w:cs="Times New Roman"/>
          <w:sz w:val="24"/>
          <w:szCs w:val="24"/>
        </w:rPr>
        <w:t>2013</w:t>
      </w:r>
      <w:r w:rsidR="005E470A">
        <w:rPr>
          <w:rFonts w:ascii="Times New Roman" w:hAnsi="Times New Roman" w:cs="Times New Roman"/>
          <w:sz w:val="24"/>
          <w:szCs w:val="24"/>
        </w:rPr>
        <w:t>)</w:t>
      </w:r>
      <w:r w:rsidRPr="00A019E1">
        <w:rPr>
          <w:rFonts w:ascii="Times New Roman" w:hAnsi="Times New Roman" w:cs="Times New Roman"/>
          <w:sz w:val="24"/>
          <w:szCs w:val="24"/>
        </w:rPr>
        <w:t>. Preference information and experimental heritage conservation auctions. Journal of Cultural Heritage Management and Sustainable Development, 3(1), 82-94.</w:t>
      </w:r>
    </w:p>
    <w:p w14:paraId="0DC0CF7D" w14:textId="4E54C215" w:rsidR="00A019E1" w:rsidRPr="00A019E1" w:rsidRDefault="00A019E1" w:rsidP="00A019E1">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t xml:space="preserve">Comerford, E. </w:t>
      </w:r>
      <w:r w:rsidR="005E470A">
        <w:rPr>
          <w:rFonts w:ascii="Times New Roman" w:hAnsi="Times New Roman" w:cs="Times New Roman"/>
          <w:sz w:val="24"/>
          <w:szCs w:val="24"/>
        </w:rPr>
        <w:t>(</w:t>
      </w:r>
      <w:r w:rsidRPr="00A019E1">
        <w:rPr>
          <w:rFonts w:ascii="Times New Roman" w:hAnsi="Times New Roman" w:cs="Times New Roman"/>
          <w:sz w:val="24"/>
          <w:szCs w:val="24"/>
        </w:rPr>
        <w:t>2014</w:t>
      </w:r>
      <w:r w:rsidR="005E470A">
        <w:rPr>
          <w:rFonts w:ascii="Times New Roman" w:hAnsi="Times New Roman" w:cs="Times New Roman"/>
          <w:sz w:val="24"/>
          <w:szCs w:val="24"/>
        </w:rPr>
        <w:t>)</w:t>
      </w:r>
      <w:r w:rsidRPr="00A019E1">
        <w:rPr>
          <w:rFonts w:ascii="Times New Roman" w:hAnsi="Times New Roman" w:cs="Times New Roman"/>
          <w:sz w:val="24"/>
          <w:szCs w:val="24"/>
        </w:rPr>
        <w:t>.</w:t>
      </w:r>
      <w:r w:rsidR="005E470A">
        <w:rPr>
          <w:rFonts w:ascii="Times New Roman" w:hAnsi="Times New Roman" w:cs="Times New Roman"/>
          <w:sz w:val="24"/>
          <w:szCs w:val="24"/>
        </w:rPr>
        <w:t xml:space="preserve"> </w:t>
      </w:r>
      <w:r w:rsidRPr="00A019E1">
        <w:rPr>
          <w:rFonts w:ascii="Times New Roman" w:hAnsi="Times New Roman" w:cs="Times New Roman"/>
          <w:sz w:val="24"/>
          <w:szCs w:val="24"/>
        </w:rPr>
        <w:t>Understanding why landholders choose to participate or withdraw from conservation programs: A case study from a Queensland conservation auction. Journal of Environmental Management, 141, 169-176.</w:t>
      </w:r>
    </w:p>
    <w:p w14:paraId="38E49BBE" w14:textId="65DB927E" w:rsidR="00A019E1" w:rsidRPr="00A019E1" w:rsidRDefault="00A019E1" w:rsidP="00A019E1">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t>Connor, J.D., Ward, J.R.</w:t>
      </w:r>
      <w:r w:rsidR="005E470A">
        <w:rPr>
          <w:rFonts w:ascii="Times New Roman" w:hAnsi="Times New Roman" w:cs="Times New Roman"/>
          <w:sz w:val="24"/>
          <w:szCs w:val="24"/>
        </w:rPr>
        <w:t xml:space="preserve"> and </w:t>
      </w:r>
      <w:r w:rsidRPr="00A019E1">
        <w:rPr>
          <w:rFonts w:ascii="Times New Roman" w:hAnsi="Times New Roman" w:cs="Times New Roman"/>
          <w:sz w:val="24"/>
          <w:szCs w:val="24"/>
        </w:rPr>
        <w:t>Bryan, B.</w:t>
      </w:r>
      <w:r w:rsidR="005E470A">
        <w:rPr>
          <w:rFonts w:ascii="Times New Roman" w:hAnsi="Times New Roman" w:cs="Times New Roman"/>
          <w:sz w:val="24"/>
          <w:szCs w:val="24"/>
        </w:rPr>
        <w:t xml:space="preserve"> (</w:t>
      </w:r>
      <w:r w:rsidRPr="00A019E1">
        <w:rPr>
          <w:rFonts w:ascii="Times New Roman" w:hAnsi="Times New Roman" w:cs="Times New Roman"/>
          <w:sz w:val="24"/>
          <w:szCs w:val="24"/>
        </w:rPr>
        <w:t>2008</w:t>
      </w:r>
      <w:r w:rsidR="005E470A">
        <w:rPr>
          <w:rFonts w:ascii="Times New Roman" w:hAnsi="Times New Roman" w:cs="Times New Roman"/>
          <w:sz w:val="24"/>
          <w:szCs w:val="24"/>
        </w:rPr>
        <w:t>)</w:t>
      </w:r>
      <w:r w:rsidRPr="00A019E1">
        <w:rPr>
          <w:rFonts w:ascii="Times New Roman" w:hAnsi="Times New Roman" w:cs="Times New Roman"/>
          <w:sz w:val="24"/>
          <w:szCs w:val="24"/>
        </w:rPr>
        <w:t>. Exploring the cost effectiveness of land conservation auctions and payment policies. Australian Journal of Agricultural and Resource Economics, 52(3), 303-319.</w:t>
      </w:r>
    </w:p>
    <w:p w14:paraId="35379DBE" w14:textId="6A04D8D7" w:rsidR="00A019E1" w:rsidRPr="00A019E1" w:rsidRDefault="00A019E1" w:rsidP="00A019E1">
      <w:pPr>
        <w:spacing w:after="0" w:line="360" w:lineRule="auto"/>
        <w:ind w:left="720" w:hanging="720"/>
        <w:jc w:val="both"/>
        <w:rPr>
          <w:rFonts w:ascii="Times New Roman" w:hAnsi="Times New Roman" w:cs="Times New Roman"/>
          <w:sz w:val="24"/>
          <w:szCs w:val="24"/>
        </w:rPr>
      </w:pPr>
      <w:r w:rsidRPr="0040442F">
        <w:rPr>
          <w:rFonts w:ascii="Times New Roman" w:hAnsi="Times New Roman" w:cs="Times New Roman"/>
          <w:sz w:val="24"/>
          <w:szCs w:val="24"/>
        </w:rPr>
        <w:lastRenderedPageBreak/>
        <w:t>Conte, M.N.</w:t>
      </w:r>
      <w:r w:rsidR="005E470A" w:rsidRPr="0040442F">
        <w:rPr>
          <w:rFonts w:ascii="Times New Roman" w:hAnsi="Times New Roman" w:cs="Times New Roman"/>
          <w:sz w:val="24"/>
          <w:szCs w:val="24"/>
        </w:rPr>
        <w:t xml:space="preserve"> and </w:t>
      </w:r>
      <w:r w:rsidRPr="0040442F">
        <w:rPr>
          <w:rFonts w:ascii="Times New Roman" w:hAnsi="Times New Roman" w:cs="Times New Roman"/>
          <w:sz w:val="24"/>
          <w:szCs w:val="24"/>
        </w:rPr>
        <w:t>Griffin, R.</w:t>
      </w:r>
      <w:r w:rsidR="005E470A" w:rsidRPr="0040442F">
        <w:rPr>
          <w:rFonts w:ascii="Times New Roman" w:hAnsi="Times New Roman" w:cs="Times New Roman"/>
          <w:sz w:val="24"/>
          <w:szCs w:val="24"/>
        </w:rPr>
        <w:t xml:space="preserve"> (</w:t>
      </w:r>
      <w:r w:rsidRPr="0040442F">
        <w:rPr>
          <w:rFonts w:ascii="Times New Roman" w:hAnsi="Times New Roman" w:cs="Times New Roman"/>
          <w:sz w:val="24"/>
          <w:szCs w:val="24"/>
        </w:rPr>
        <w:t>2019</w:t>
      </w:r>
      <w:r w:rsidR="005E470A" w:rsidRPr="0040442F">
        <w:rPr>
          <w:rFonts w:ascii="Times New Roman" w:hAnsi="Times New Roman" w:cs="Times New Roman"/>
          <w:sz w:val="24"/>
          <w:szCs w:val="24"/>
        </w:rPr>
        <w:t>)</w:t>
      </w:r>
      <w:r w:rsidRPr="0040442F">
        <w:rPr>
          <w:rFonts w:ascii="Times New Roman" w:hAnsi="Times New Roman" w:cs="Times New Roman"/>
          <w:sz w:val="24"/>
          <w:szCs w:val="24"/>
        </w:rPr>
        <w:t xml:space="preserve">. </w:t>
      </w:r>
      <w:r w:rsidRPr="00A019E1">
        <w:rPr>
          <w:rFonts w:ascii="Times New Roman" w:hAnsi="Times New Roman" w:cs="Times New Roman"/>
          <w:sz w:val="24"/>
          <w:szCs w:val="24"/>
        </w:rPr>
        <w:t>Private Benefts of Conservation and Procurement Auction Performance. Environmental and Resource Economics, 73:759-790.</w:t>
      </w:r>
    </w:p>
    <w:p w14:paraId="31AB5412" w14:textId="37D0D5DC" w:rsidR="00A019E1" w:rsidRPr="00A019E1" w:rsidRDefault="00A019E1" w:rsidP="00A019E1">
      <w:pPr>
        <w:spacing w:after="0" w:line="360" w:lineRule="auto"/>
        <w:ind w:left="720" w:hanging="720"/>
        <w:rPr>
          <w:rFonts w:ascii="Times New Roman" w:hAnsi="Times New Roman" w:cs="Times New Roman"/>
          <w:sz w:val="24"/>
          <w:szCs w:val="24"/>
        </w:rPr>
      </w:pPr>
      <w:r w:rsidRPr="00A019E1">
        <w:rPr>
          <w:rFonts w:ascii="Times New Roman" w:hAnsi="Times New Roman" w:cs="Times New Roman"/>
          <w:sz w:val="24"/>
          <w:szCs w:val="24"/>
        </w:rPr>
        <w:t>Cummings, R.G., Holt, C.A.</w:t>
      </w:r>
      <w:r w:rsidR="005E470A">
        <w:rPr>
          <w:rFonts w:ascii="Times New Roman" w:hAnsi="Times New Roman" w:cs="Times New Roman"/>
          <w:sz w:val="24"/>
          <w:szCs w:val="24"/>
        </w:rPr>
        <w:t xml:space="preserve"> and</w:t>
      </w:r>
      <w:r w:rsidRPr="00A019E1">
        <w:rPr>
          <w:rFonts w:ascii="Times New Roman" w:hAnsi="Times New Roman" w:cs="Times New Roman"/>
          <w:sz w:val="24"/>
          <w:szCs w:val="24"/>
        </w:rPr>
        <w:t xml:space="preserve"> Laury, S.K. (2004). Using Laboratory Experiments for Policymaking: An Example from the Georgia Irrigation Reduction Auction. Journal of Policy Analysis and Management, 23(2), 341-363.</w:t>
      </w:r>
    </w:p>
    <w:p w14:paraId="14C50C69" w14:textId="25307760" w:rsidR="00A019E1" w:rsidRPr="00A019E1" w:rsidRDefault="00A019E1" w:rsidP="00A019E1">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t>Deng, X.</w:t>
      </w:r>
      <w:r w:rsidR="005E470A">
        <w:rPr>
          <w:rFonts w:ascii="Times New Roman" w:hAnsi="Times New Roman" w:cs="Times New Roman"/>
          <w:sz w:val="24"/>
          <w:szCs w:val="24"/>
        </w:rPr>
        <w:t xml:space="preserve"> and </w:t>
      </w:r>
      <w:r w:rsidRPr="00A019E1">
        <w:rPr>
          <w:rFonts w:ascii="Times New Roman" w:hAnsi="Times New Roman" w:cs="Times New Roman"/>
          <w:sz w:val="24"/>
          <w:szCs w:val="24"/>
        </w:rPr>
        <w:t>Xu, Z.</w:t>
      </w:r>
      <w:r w:rsidR="005E470A">
        <w:rPr>
          <w:rFonts w:ascii="Times New Roman" w:hAnsi="Times New Roman" w:cs="Times New Roman"/>
          <w:sz w:val="24"/>
          <w:szCs w:val="24"/>
        </w:rPr>
        <w:t xml:space="preserve"> (</w:t>
      </w:r>
      <w:r w:rsidRPr="00A019E1">
        <w:rPr>
          <w:rFonts w:ascii="Times New Roman" w:hAnsi="Times New Roman" w:cs="Times New Roman"/>
          <w:sz w:val="24"/>
          <w:szCs w:val="24"/>
        </w:rPr>
        <w:t>2015</w:t>
      </w:r>
      <w:r w:rsidR="005E470A">
        <w:rPr>
          <w:rFonts w:ascii="Times New Roman" w:hAnsi="Times New Roman" w:cs="Times New Roman"/>
          <w:sz w:val="24"/>
          <w:szCs w:val="24"/>
        </w:rPr>
        <w:t>)</w:t>
      </w:r>
      <w:r w:rsidRPr="00A019E1">
        <w:rPr>
          <w:rFonts w:ascii="Times New Roman" w:hAnsi="Times New Roman" w:cs="Times New Roman"/>
          <w:sz w:val="24"/>
          <w:szCs w:val="24"/>
        </w:rPr>
        <w:t>.</w:t>
      </w:r>
      <w:r w:rsidR="005E470A">
        <w:rPr>
          <w:rFonts w:ascii="Times New Roman" w:hAnsi="Times New Roman" w:cs="Times New Roman"/>
          <w:sz w:val="24"/>
          <w:szCs w:val="24"/>
        </w:rPr>
        <w:t xml:space="preserve"> </w:t>
      </w:r>
      <w:r w:rsidRPr="00A019E1">
        <w:rPr>
          <w:rFonts w:ascii="Times New Roman" w:hAnsi="Times New Roman" w:cs="Times New Roman"/>
          <w:sz w:val="24"/>
          <w:szCs w:val="24"/>
        </w:rPr>
        <w:t>Green Auctions and Reduction of Information Rents in Payments for Environmental Services: An Experimental Investigation in Sunan County, Northwestern China. PLoS ONE 10(3): e0118978.</w:t>
      </w:r>
    </w:p>
    <w:p w14:paraId="6679D1C3" w14:textId="4F606B0D" w:rsidR="00A019E1" w:rsidRPr="00A019E1" w:rsidRDefault="00A019E1" w:rsidP="00A019E1">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t xml:space="preserve">DePiper G.S. </w:t>
      </w:r>
      <w:r w:rsidR="005E470A">
        <w:rPr>
          <w:rFonts w:ascii="Times New Roman" w:hAnsi="Times New Roman" w:cs="Times New Roman"/>
          <w:sz w:val="24"/>
          <w:szCs w:val="24"/>
        </w:rPr>
        <w:t>(</w:t>
      </w:r>
      <w:r w:rsidRPr="00A019E1">
        <w:rPr>
          <w:rFonts w:ascii="Times New Roman" w:hAnsi="Times New Roman" w:cs="Times New Roman"/>
          <w:sz w:val="24"/>
          <w:szCs w:val="24"/>
        </w:rPr>
        <w:t>2015</w:t>
      </w:r>
      <w:r w:rsidR="005E470A">
        <w:rPr>
          <w:rFonts w:ascii="Times New Roman" w:hAnsi="Times New Roman" w:cs="Times New Roman"/>
          <w:sz w:val="24"/>
          <w:szCs w:val="24"/>
        </w:rPr>
        <w:t>)</w:t>
      </w:r>
      <w:r w:rsidRPr="00A019E1">
        <w:rPr>
          <w:rFonts w:ascii="Times New Roman" w:hAnsi="Times New Roman" w:cs="Times New Roman"/>
          <w:sz w:val="24"/>
          <w:szCs w:val="24"/>
        </w:rPr>
        <w:t>. To bid or not to bid: The role of participation rates in conservation auction outcomes. American Journal of Agricultural Economics, 97(4):1157-1174.</w:t>
      </w:r>
    </w:p>
    <w:p w14:paraId="6A7119D4" w14:textId="40F7AF02" w:rsidR="00A019E1" w:rsidRPr="00A019E1" w:rsidRDefault="00A019E1" w:rsidP="00A019E1">
      <w:pPr>
        <w:spacing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t xml:space="preserve">European Environment Agency (EEA) (2021). EEA glossary. </w:t>
      </w:r>
      <w:hyperlink r:id="rId8" w:history="1">
        <w:r w:rsidRPr="00A019E1">
          <w:rPr>
            <w:rFonts w:ascii="Times New Roman" w:hAnsi="Times New Roman" w:cs="Times New Roman"/>
            <w:sz w:val="24"/>
            <w:szCs w:val="24"/>
          </w:rPr>
          <w:t>https://www.eea.europa.eu/help/glossary/eea-glossary</w:t>
        </w:r>
      </w:hyperlink>
    </w:p>
    <w:p w14:paraId="0FF8BAC0" w14:textId="77A49A0C" w:rsidR="00A019E1" w:rsidRPr="00A019E1" w:rsidRDefault="00A019E1" w:rsidP="00A019E1">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t>Ferraro, P.J</w:t>
      </w:r>
      <w:r w:rsidR="005E470A">
        <w:rPr>
          <w:rFonts w:ascii="Times New Roman" w:hAnsi="Times New Roman" w:cs="Times New Roman"/>
          <w:sz w:val="24"/>
          <w:szCs w:val="24"/>
        </w:rPr>
        <w:t>. (</w:t>
      </w:r>
      <w:r w:rsidRPr="00A019E1">
        <w:rPr>
          <w:rFonts w:ascii="Times New Roman" w:hAnsi="Times New Roman" w:cs="Times New Roman"/>
          <w:sz w:val="24"/>
          <w:szCs w:val="24"/>
        </w:rPr>
        <w:t>2008</w:t>
      </w:r>
      <w:r w:rsidR="005E470A">
        <w:rPr>
          <w:rFonts w:ascii="Times New Roman" w:hAnsi="Times New Roman" w:cs="Times New Roman"/>
          <w:sz w:val="24"/>
          <w:szCs w:val="24"/>
        </w:rPr>
        <w:t>)</w:t>
      </w:r>
      <w:r w:rsidRPr="00A019E1">
        <w:rPr>
          <w:rFonts w:ascii="Times New Roman" w:hAnsi="Times New Roman" w:cs="Times New Roman"/>
          <w:sz w:val="24"/>
          <w:szCs w:val="24"/>
        </w:rPr>
        <w:t>. Asymmetric information and contract design for payments for environmental services. Ecological Economics, 65(4), 810-821.</w:t>
      </w:r>
    </w:p>
    <w:p w14:paraId="54211E55" w14:textId="0D399A80" w:rsidR="00A019E1" w:rsidRPr="00A019E1" w:rsidRDefault="00A019E1" w:rsidP="00A019E1">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t>Fooks, J.R., Messer, K.D.</w:t>
      </w:r>
      <w:r w:rsidR="005E470A">
        <w:rPr>
          <w:rFonts w:ascii="Times New Roman" w:hAnsi="Times New Roman" w:cs="Times New Roman"/>
          <w:sz w:val="24"/>
          <w:szCs w:val="24"/>
        </w:rPr>
        <w:t xml:space="preserve"> and </w:t>
      </w:r>
      <w:r w:rsidRPr="00A019E1">
        <w:rPr>
          <w:rFonts w:ascii="Times New Roman" w:hAnsi="Times New Roman" w:cs="Times New Roman"/>
          <w:sz w:val="24"/>
          <w:szCs w:val="24"/>
        </w:rPr>
        <w:t>Duke, J.M.</w:t>
      </w:r>
      <w:r w:rsidR="005E470A">
        <w:rPr>
          <w:rFonts w:ascii="Times New Roman" w:hAnsi="Times New Roman" w:cs="Times New Roman"/>
          <w:sz w:val="24"/>
          <w:szCs w:val="24"/>
        </w:rPr>
        <w:t xml:space="preserve"> (</w:t>
      </w:r>
      <w:r w:rsidRPr="00A019E1">
        <w:rPr>
          <w:rFonts w:ascii="Times New Roman" w:hAnsi="Times New Roman" w:cs="Times New Roman"/>
          <w:sz w:val="24"/>
          <w:szCs w:val="24"/>
        </w:rPr>
        <w:t>2015</w:t>
      </w:r>
      <w:r w:rsidR="005E470A">
        <w:rPr>
          <w:rFonts w:ascii="Times New Roman" w:hAnsi="Times New Roman" w:cs="Times New Roman"/>
          <w:sz w:val="24"/>
          <w:szCs w:val="24"/>
        </w:rPr>
        <w:t>)</w:t>
      </w:r>
      <w:r w:rsidRPr="00A019E1">
        <w:rPr>
          <w:rFonts w:ascii="Times New Roman" w:hAnsi="Times New Roman" w:cs="Times New Roman"/>
          <w:sz w:val="24"/>
          <w:szCs w:val="24"/>
        </w:rPr>
        <w:t>.</w:t>
      </w:r>
      <w:r w:rsidR="005E470A">
        <w:rPr>
          <w:rFonts w:ascii="Times New Roman" w:hAnsi="Times New Roman" w:cs="Times New Roman"/>
          <w:sz w:val="24"/>
          <w:szCs w:val="24"/>
        </w:rPr>
        <w:t xml:space="preserve"> </w:t>
      </w:r>
      <w:r w:rsidRPr="00A019E1">
        <w:rPr>
          <w:rFonts w:ascii="Times New Roman" w:hAnsi="Times New Roman" w:cs="Times New Roman"/>
          <w:sz w:val="24"/>
          <w:szCs w:val="24"/>
        </w:rPr>
        <w:t>Dynamic Entry, Reverse Auctions, and the Purchase of Environmental Services. Land Economics, 91(1), 57-75.</w:t>
      </w:r>
    </w:p>
    <w:p w14:paraId="159580C4" w14:textId="7D44CA10" w:rsidR="00A019E1" w:rsidRPr="00A019E1" w:rsidRDefault="00A019E1" w:rsidP="00A019E1">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t>Hellerstein, D.</w:t>
      </w:r>
      <w:r w:rsidR="005E470A">
        <w:rPr>
          <w:rFonts w:ascii="Times New Roman" w:hAnsi="Times New Roman" w:cs="Times New Roman"/>
          <w:sz w:val="24"/>
          <w:szCs w:val="24"/>
        </w:rPr>
        <w:t xml:space="preserve"> and </w:t>
      </w:r>
      <w:r w:rsidRPr="00A019E1">
        <w:rPr>
          <w:rFonts w:ascii="Times New Roman" w:hAnsi="Times New Roman" w:cs="Times New Roman"/>
          <w:sz w:val="24"/>
          <w:szCs w:val="24"/>
        </w:rPr>
        <w:t>Higgins, N. (2016). The Effective Use of Limited Information: Do Bid Maximums Reduce Procurement Cost in Asymmetric Auctions? Agricultural and Resource Economics Review, 39(2), 288-304.</w:t>
      </w:r>
    </w:p>
    <w:p w14:paraId="2379A989" w14:textId="36396646" w:rsidR="00A019E1" w:rsidRPr="00A019E1" w:rsidRDefault="00A019E1" w:rsidP="00A019E1">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t>Hill, M.R.J., McMaster, G., Harrison, T., Hershmiller, A.</w:t>
      </w:r>
      <w:r w:rsidR="005E470A">
        <w:rPr>
          <w:rFonts w:ascii="Times New Roman" w:hAnsi="Times New Roman" w:cs="Times New Roman"/>
          <w:sz w:val="24"/>
          <w:szCs w:val="24"/>
        </w:rPr>
        <w:t xml:space="preserve"> and</w:t>
      </w:r>
      <w:r w:rsidRPr="00A019E1">
        <w:rPr>
          <w:rFonts w:ascii="Times New Roman" w:hAnsi="Times New Roman" w:cs="Times New Roman"/>
          <w:sz w:val="24"/>
          <w:szCs w:val="24"/>
        </w:rPr>
        <w:t xml:space="preserve"> Plews, T.</w:t>
      </w:r>
      <w:r w:rsidR="005E470A">
        <w:rPr>
          <w:rFonts w:ascii="Times New Roman" w:hAnsi="Times New Roman" w:cs="Times New Roman"/>
          <w:sz w:val="24"/>
          <w:szCs w:val="24"/>
        </w:rPr>
        <w:t xml:space="preserve"> (</w:t>
      </w:r>
      <w:r w:rsidRPr="00A019E1">
        <w:rPr>
          <w:rFonts w:ascii="Times New Roman" w:hAnsi="Times New Roman" w:cs="Times New Roman"/>
          <w:sz w:val="24"/>
          <w:szCs w:val="24"/>
        </w:rPr>
        <w:t>2011</w:t>
      </w:r>
      <w:r w:rsidR="005E470A">
        <w:rPr>
          <w:rFonts w:ascii="Times New Roman" w:hAnsi="Times New Roman" w:cs="Times New Roman"/>
          <w:sz w:val="24"/>
          <w:szCs w:val="24"/>
        </w:rPr>
        <w:t>)</w:t>
      </w:r>
      <w:r w:rsidRPr="00A019E1">
        <w:rPr>
          <w:rFonts w:ascii="Times New Roman" w:hAnsi="Times New Roman" w:cs="Times New Roman"/>
          <w:sz w:val="24"/>
          <w:szCs w:val="24"/>
        </w:rPr>
        <w:t>. A Reverse Auction for Wetland Restoration in the Assiniboine River Watershed, Saskatchewan. Canadian Journal of Agricultural Economics, 59(2), 245-258.</w:t>
      </w:r>
    </w:p>
    <w:p w14:paraId="0D69A771" w14:textId="66975034" w:rsidR="00A019E1" w:rsidRPr="00A019E1" w:rsidRDefault="00A019E1" w:rsidP="00A019E1">
      <w:pPr>
        <w:spacing w:after="0" w:line="360" w:lineRule="auto"/>
        <w:ind w:left="720" w:hanging="720"/>
        <w:jc w:val="both"/>
        <w:rPr>
          <w:rFonts w:ascii="Times New Roman" w:hAnsi="Times New Roman" w:cs="Times New Roman"/>
          <w:sz w:val="24"/>
          <w:szCs w:val="24"/>
        </w:rPr>
      </w:pPr>
      <w:r w:rsidRPr="005E470A">
        <w:rPr>
          <w:rFonts w:ascii="Times New Roman" w:hAnsi="Times New Roman" w:cs="Times New Roman"/>
          <w:sz w:val="24"/>
          <w:szCs w:val="24"/>
        </w:rPr>
        <w:t>Horowitz, J.K., Lynch, L.</w:t>
      </w:r>
      <w:r w:rsidR="005E470A" w:rsidRPr="005E470A">
        <w:rPr>
          <w:rFonts w:ascii="Times New Roman" w:hAnsi="Times New Roman" w:cs="Times New Roman"/>
          <w:sz w:val="24"/>
          <w:szCs w:val="24"/>
        </w:rPr>
        <w:t xml:space="preserve"> and</w:t>
      </w:r>
      <w:r w:rsidRPr="005E470A">
        <w:rPr>
          <w:rFonts w:ascii="Times New Roman" w:hAnsi="Times New Roman" w:cs="Times New Roman"/>
          <w:sz w:val="24"/>
          <w:szCs w:val="24"/>
        </w:rPr>
        <w:t xml:space="preserve"> </w:t>
      </w:r>
      <w:r w:rsidRPr="00A019E1">
        <w:rPr>
          <w:rFonts w:ascii="Times New Roman" w:hAnsi="Times New Roman" w:cs="Times New Roman"/>
          <w:sz w:val="24"/>
          <w:szCs w:val="24"/>
        </w:rPr>
        <w:t>Stocking, A.</w:t>
      </w:r>
      <w:r w:rsidR="005E470A">
        <w:rPr>
          <w:rFonts w:ascii="Times New Roman" w:hAnsi="Times New Roman" w:cs="Times New Roman"/>
          <w:sz w:val="24"/>
          <w:szCs w:val="24"/>
        </w:rPr>
        <w:t xml:space="preserve"> (</w:t>
      </w:r>
      <w:r w:rsidRPr="00A019E1">
        <w:rPr>
          <w:rFonts w:ascii="Times New Roman" w:hAnsi="Times New Roman" w:cs="Times New Roman"/>
          <w:sz w:val="24"/>
          <w:szCs w:val="24"/>
        </w:rPr>
        <w:t>2009</w:t>
      </w:r>
      <w:r w:rsidR="005E470A">
        <w:rPr>
          <w:rFonts w:ascii="Times New Roman" w:hAnsi="Times New Roman" w:cs="Times New Roman"/>
          <w:sz w:val="24"/>
          <w:szCs w:val="24"/>
        </w:rPr>
        <w:t>)</w:t>
      </w:r>
      <w:r w:rsidRPr="00A019E1">
        <w:rPr>
          <w:rFonts w:ascii="Times New Roman" w:hAnsi="Times New Roman" w:cs="Times New Roman"/>
          <w:sz w:val="24"/>
          <w:szCs w:val="24"/>
        </w:rPr>
        <w:t>. Competition-Based Environmental Policy: An Analysis of Farmland Preservation in Maryland. Land Economics, 85 (4): 555–575.</w:t>
      </w:r>
    </w:p>
    <w:p w14:paraId="29495625" w14:textId="2531AB26" w:rsidR="00A019E1" w:rsidRPr="00A019E1" w:rsidRDefault="00A019E1" w:rsidP="00A019E1">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t>Iftekhar, M.S., Tisdell, J.G.</w:t>
      </w:r>
      <w:r w:rsidR="005E470A">
        <w:rPr>
          <w:rFonts w:ascii="Times New Roman" w:hAnsi="Times New Roman" w:cs="Times New Roman"/>
          <w:sz w:val="24"/>
          <w:szCs w:val="24"/>
        </w:rPr>
        <w:t xml:space="preserve"> and </w:t>
      </w:r>
      <w:r w:rsidRPr="00A019E1">
        <w:rPr>
          <w:rFonts w:ascii="Times New Roman" w:hAnsi="Times New Roman" w:cs="Times New Roman"/>
          <w:sz w:val="24"/>
          <w:szCs w:val="24"/>
        </w:rPr>
        <w:t>Connor, J.D.</w:t>
      </w:r>
      <w:r w:rsidR="005E470A">
        <w:rPr>
          <w:rFonts w:ascii="Times New Roman" w:hAnsi="Times New Roman" w:cs="Times New Roman"/>
          <w:sz w:val="24"/>
          <w:szCs w:val="24"/>
        </w:rPr>
        <w:t xml:space="preserve"> (</w:t>
      </w:r>
      <w:r w:rsidRPr="00A019E1">
        <w:rPr>
          <w:rFonts w:ascii="Times New Roman" w:hAnsi="Times New Roman" w:cs="Times New Roman"/>
          <w:sz w:val="24"/>
          <w:szCs w:val="24"/>
        </w:rPr>
        <w:t>2013</w:t>
      </w:r>
      <w:r w:rsidR="005E470A">
        <w:rPr>
          <w:rFonts w:ascii="Times New Roman" w:hAnsi="Times New Roman" w:cs="Times New Roman"/>
          <w:sz w:val="24"/>
          <w:szCs w:val="24"/>
        </w:rPr>
        <w:t>)</w:t>
      </w:r>
      <w:r w:rsidRPr="00A019E1">
        <w:rPr>
          <w:rFonts w:ascii="Times New Roman" w:hAnsi="Times New Roman" w:cs="Times New Roman"/>
          <w:sz w:val="24"/>
          <w:szCs w:val="24"/>
        </w:rPr>
        <w:t>. Effects of competition on environmental water buyback auctions. Agricultural Water Management, 127, 59-73.</w:t>
      </w:r>
    </w:p>
    <w:p w14:paraId="7D7A96D7" w14:textId="42B48DE6" w:rsidR="00A019E1" w:rsidRPr="00A019E1" w:rsidRDefault="00A019E1" w:rsidP="00A019E1">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t>Iho, A., Lankoski, J., Ollikainen, M., Puustinen, M.</w:t>
      </w:r>
      <w:r w:rsidR="005E470A">
        <w:rPr>
          <w:rFonts w:ascii="Times New Roman" w:hAnsi="Times New Roman" w:cs="Times New Roman"/>
          <w:sz w:val="24"/>
          <w:szCs w:val="24"/>
        </w:rPr>
        <w:t xml:space="preserve"> and </w:t>
      </w:r>
      <w:r w:rsidRPr="00A019E1">
        <w:rPr>
          <w:rFonts w:ascii="Times New Roman" w:hAnsi="Times New Roman" w:cs="Times New Roman"/>
          <w:sz w:val="24"/>
          <w:szCs w:val="24"/>
        </w:rPr>
        <w:t>Lehtimäki, J.</w:t>
      </w:r>
      <w:r w:rsidR="005E470A">
        <w:rPr>
          <w:rFonts w:ascii="Times New Roman" w:hAnsi="Times New Roman" w:cs="Times New Roman"/>
          <w:sz w:val="24"/>
          <w:szCs w:val="24"/>
        </w:rPr>
        <w:t xml:space="preserve"> (</w:t>
      </w:r>
      <w:r w:rsidRPr="00A019E1">
        <w:rPr>
          <w:rFonts w:ascii="Times New Roman" w:hAnsi="Times New Roman" w:cs="Times New Roman"/>
          <w:sz w:val="24"/>
          <w:szCs w:val="24"/>
        </w:rPr>
        <w:t>2014</w:t>
      </w:r>
      <w:r w:rsidR="005E470A">
        <w:rPr>
          <w:rFonts w:ascii="Times New Roman" w:hAnsi="Times New Roman" w:cs="Times New Roman"/>
          <w:sz w:val="24"/>
          <w:szCs w:val="24"/>
        </w:rPr>
        <w:t>)</w:t>
      </w:r>
      <w:r w:rsidRPr="00A019E1">
        <w:rPr>
          <w:rFonts w:ascii="Times New Roman" w:hAnsi="Times New Roman" w:cs="Times New Roman"/>
          <w:sz w:val="24"/>
          <w:szCs w:val="24"/>
        </w:rPr>
        <w:t>.</w:t>
      </w:r>
      <w:r w:rsidR="005E470A">
        <w:rPr>
          <w:rFonts w:ascii="Times New Roman" w:hAnsi="Times New Roman" w:cs="Times New Roman"/>
          <w:sz w:val="24"/>
          <w:szCs w:val="24"/>
        </w:rPr>
        <w:t xml:space="preserve"> </w:t>
      </w:r>
      <w:r w:rsidRPr="00A019E1">
        <w:rPr>
          <w:rFonts w:ascii="Times New Roman" w:hAnsi="Times New Roman" w:cs="Times New Roman"/>
          <w:sz w:val="24"/>
          <w:szCs w:val="24"/>
        </w:rPr>
        <w:t>Agri-environmental auctions for phosphorus load reduction: experiences from a Finnish pilot.</w:t>
      </w:r>
      <w:r w:rsidR="005E470A">
        <w:rPr>
          <w:rFonts w:ascii="Times New Roman" w:hAnsi="Times New Roman" w:cs="Times New Roman"/>
          <w:sz w:val="24"/>
          <w:szCs w:val="24"/>
        </w:rPr>
        <w:t xml:space="preserve"> </w:t>
      </w:r>
      <w:r w:rsidRPr="00A019E1">
        <w:rPr>
          <w:rFonts w:ascii="Times New Roman" w:hAnsi="Times New Roman" w:cs="Times New Roman"/>
          <w:sz w:val="24"/>
          <w:szCs w:val="24"/>
        </w:rPr>
        <w:t>Australian Journal of Agricultural and Resource Economics, 58(2), 205-222.</w:t>
      </w:r>
    </w:p>
    <w:p w14:paraId="62F9A84B" w14:textId="601B12BF" w:rsidR="00A019E1" w:rsidRPr="00A019E1" w:rsidRDefault="00A019E1" w:rsidP="00A019E1">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t>Jack, B.K., Leimona, B.</w:t>
      </w:r>
      <w:r w:rsidR="005E470A">
        <w:rPr>
          <w:rFonts w:ascii="Times New Roman" w:hAnsi="Times New Roman" w:cs="Times New Roman"/>
          <w:sz w:val="24"/>
          <w:szCs w:val="24"/>
        </w:rPr>
        <w:t xml:space="preserve"> and </w:t>
      </w:r>
      <w:r w:rsidRPr="00A019E1">
        <w:rPr>
          <w:rFonts w:ascii="Times New Roman" w:hAnsi="Times New Roman" w:cs="Times New Roman"/>
          <w:sz w:val="24"/>
          <w:szCs w:val="24"/>
        </w:rPr>
        <w:t>Ferraro, P.J.</w:t>
      </w:r>
      <w:r w:rsidR="005E470A">
        <w:rPr>
          <w:rFonts w:ascii="Times New Roman" w:hAnsi="Times New Roman" w:cs="Times New Roman"/>
          <w:sz w:val="24"/>
          <w:szCs w:val="24"/>
        </w:rPr>
        <w:t xml:space="preserve"> (</w:t>
      </w:r>
      <w:r w:rsidRPr="00A019E1">
        <w:rPr>
          <w:rFonts w:ascii="Times New Roman" w:hAnsi="Times New Roman" w:cs="Times New Roman"/>
          <w:sz w:val="24"/>
          <w:szCs w:val="24"/>
        </w:rPr>
        <w:t>2008</w:t>
      </w:r>
      <w:r w:rsidR="005E470A">
        <w:rPr>
          <w:rFonts w:ascii="Times New Roman" w:hAnsi="Times New Roman" w:cs="Times New Roman"/>
          <w:sz w:val="24"/>
          <w:szCs w:val="24"/>
        </w:rPr>
        <w:t>)</w:t>
      </w:r>
      <w:r w:rsidRPr="00A019E1">
        <w:rPr>
          <w:rFonts w:ascii="Times New Roman" w:hAnsi="Times New Roman" w:cs="Times New Roman"/>
          <w:sz w:val="24"/>
          <w:szCs w:val="24"/>
        </w:rPr>
        <w:t>. A Revealed Preference Approach to Estimating Supply Curves for Ecosystem Services: Use of Auctions to Set Payments for Soil Erosion Control in Indonesia. Conservation Biology, 23(2), 359-367.</w:t>
      </w:r>
    </w:p>
    <w:p w14:paraId="1EBA3E8F" w14:textId="796499DD" w:rsidR="00A019E1" w:rsidRPr="00A019E1" w:rsidRDefault="00A019E1" w:rsidP="00A019E1">
      <w:pPr>
        <w:spacing w:after="0" w:line="360" w:lineRule="auto"/>
        <w:ind w:left="720" w:hanging="720"/>
        <w:jc w:val="both"/>
        <w:rPr>
          <w:rFonts w:ascii="Times New Roman" w:hAnsi="Times New Roman" w:cs="Times New Roman"/>
          <w:sz w:val="24"/>
          <w:szCs w:val="24"/>
        </w:rPr>
      </w:pPr>
      <w:r w:rsidRPr="005E470A">
        <w:rPr>
          <w:rFonts w:ascii="Times New Roman" w:hAnsi="Times New Roman" w:cs="Times New Roman"/>
          <w:sz w:val="24"/>
          <w:szCs w:val="24"/>
        </w:rPr>
        <w:lastRenderedPageBreak/>
        <w:t>Khalumba, M., Wuenscher, T., Wunder, S.</w:t>
      </w:r>
      <w:r w:rsidR="005E470A" w:rsidRPr="005E470A">
        <w:rPr>
          <w:rFonts w:ascii="Times New Roman" w:hAnsi="Times New Roman" w:cs="Times New Roman"/>
          <w:sz w:val="24"/>
          <w:szCs w:val="24"/>
        </w:rPr>
        <w:t xml:space="preserve"> an</w:t>
      </w:r>
      <w:r w:rsidR="005E470A">
        <w:rPr>
          <w:rFonts w:ascii="Times New Roman" w:hAnsi="Times New Roman" w:cs="Times New Roman"/>
          <w:sz w:val="24"/>
          <w:szCs w:val="24"/>
        </w:rPr>
        <w:t>d</w:t>
      </w:r>
      <w:r w:rsidRPr="005E470A">
        <w:rPr>
          <w:rFonts w:ascii="Times New Roman" w:hAnsi="Times New Roman" w:cs="Times New Roman"/>
          <w:sz w:val="24"/>
          <w:szCs w:val="24"/>
        </w:rPr>
        <w:t xml:space="preserve"> </w:t>
      </w:r>
      <w:r w:rsidRPr="00A019E1">
        <w:rPr>
          <w:rFonts w:ascii="Times New Roman" w:hAnsi="Times New Roman" w:cs="Times New Roman"/>
          <w:sz w:val="24"/>
          <w:szCs w:val="24"/>
        </w:rPr>
        <w:t xml:space="preserve">Buedenbender, M. </w:t>
      </w:r>
      <w:r w:rsidR="003E1E3E">
        <w:rPr>
          <w:rFonts w:ascii="Times New Roman" w:hAnsi="Times New Roman" w:cs="Times New Roman"/>
          <w:sz w:val="24"/>
          <w:szCs w:val="24"/>
        </w:rPr>
        <w:t>(</w:t>
      </w:r>
      <w:r w:rsidRPr="00A019E1">
        <w:rPr>
          <w:rFonts w:ascii="Times New Roman" w:hAnsi="Times New Roman" w:cs="Times New Roman"/>
          <w:sz w:val="24"/>
          <w:szCs w:val="24"/>
        </w:rPr>
        <w:t>2014</w:t>
      </w:r>
      <w:r w:rsidR="003E1E3E">
        <w:rPr>
          <w:rFonts w:ascii="Times New Roman" w:hAnsi="Times New Roman" w:cs="Times New Roman"/>
          <w:sz w:val="24"/>
          <w:szCs w:val="24"/>
        </w:rPr>
        <w:t>)</w:t>
      </w:r>
      <w:r w:rsidRPr="00A019E1">
        <w:rPr>
          <w:rFonts w:ascii="Times New Roman" w:hAnsi="Times New Roman" w:cs="Times New Roman"/>
          <w:sz w:val="24"/>
          <w:szCs w:val="24"/>
        </w:rPr>
        <w:t>.Combining Auctions and Performance-BasedPayments in a Forest Enrichment Field Trial inWestern Kenya. Conservation Biology, 28(3), 861–866.</w:t>
      </w:r>
    </w:p>
    <w:p w14:paraId="69FEAA58" w14:textId="0A83C39A" w:rsidR="00A019E1" w:rsidRPr="00A019E1" w:rsidRDefault="00A019E1" w:rsidP="00A019E1">
      <w:pPr>
        <w:spacing w:after="0" w:line="360" w:lineRule="auto"/>
        <w:ind w:left="720" w:hanging="720"/>
        <w:jc w:val="both"/>
        <w:rPr>
          <w:rFonts w:ascii="Times New Roman" w:hAnsi="Times New Roman" w:cs="Times New Roman"/>
          <w:sz w:val="24"/>
          <w:szCs w:val="24"/>
        </w:rPr>
      </w:pPr>
      <w:r w:rsidRPr="003E1E3E">
        <w:rPr>
          <w:rFonts w:ascii="Times New Roman" w:hAnsi="Times New Roman" w:cs="Times New Roman"/>
          <w:sz w:val="24"/>
          <w:szCs w:val="24"/>
        </w:rPr>
        <w:t>Lan, L., Iftekhar, M.S., Fogarty, J.</w:t>
      </w:r>
      <w:r w:rsidR="003E1E3E" w:rsidRPr="003E1E3E">
        <w:rPr>
          <w:rFonts w:ascii="Times New Roman" w:hAnsi="Times New Roman" w:cs="Times New Roman"/>
          <w:sz w:val="24"/>
          <w:szCs w:val="24"/>
        </w:rPr>
        <w:t xml:space="preserve"> and</w:t>
      </w:r>
      <w:r w:rsidRPr="003E1E3E">
        <w:rPr>
          <w:rFonts w:ascii="Times New Roman" w:hAnsi="Times New Roman" w:cs="Times New Roman"/>
          <w:sz w:val="24"/>
          <w:szCs w:val="24"/>
        </w:rPr>
        <w:t xml:space="preserve"> </w:t>
      </w:r>
      <w:r w:rsidRPr="00A019E1">
        <w:rPr>
          <w:rFonts w:ascii="Times New Roman" w:hAnsi="Times New Roman" w:cs="Times New Roman"/>
          <w:sz w:val="24"/>
          <w:szCs w:val="24"/>
        </w:rPr>
        <w:t xml:space="preserve">Schilizzi, S. </w:t>
      </w:r>
      <w:r w:rsidR="003E1E3E">
        <w:rPr>
          <w:rFonts w:ascii="Times New Roman" w:hAnsi="Times New Roman" w:cs="Times New Roman"/>
          <w:sz w:val="24"/>
          <w:szCs w:val="24"/>
        </w:rPr>
        <w:t>(</w:t>
      </w:r>
      <w:r w:rsidRPr="00A019E1">
        <w:rPr>
          <w:rFonts w:ascii="Times New Roman" w:hAnsi="Times New Roman" w:cs="Times New Roman"/>
          <w:sz w:val="24"/>
          <w:szCs w:val="24"/>
        </w:rPr>
        <w:t>2021</w:t>
      </w:r>
      <w:r w:rsidR="003E1E3E">
        <w:rPr>
          <w:rFonts w:ascii="Times New Roman" w:hAnsi="Times New Roman" w:cs="Times New Roman"/>
          <w:sz w:val="24"/>
          <w:szCs w:val="24"/>
        </w:rPr>
        <w:t>)</w:t>
      </w:r>
      <w:r w:rsidRPr="00A019E1">
        <w:rPr>
          <w:rFonts w:ascii="Times New Roman" w:hAnsi="Times New Roman" w:cs="Times New Roman"/>
          <w:sz w:val="24"/>
          <w:szCs w:val="24"/>
        </w:rPr>
        <w:t>. Auctions for buying back groundwater for environmental purposes: Which design performs better? Journal of Agricultural Economics, 72(3), 931-948.</w:t>
      </w:r>
    </w:p>
    <w:p w14:paraId="69D9ED39" w14:textId="76C20CE4" w:rsidR="00A019E1" w:rsidRPr="00A019E1" w:rsidRDefault="00A019E1" w:rsidP="00A019E1">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t>Leimona, B.</w:t>
      </w:r>
      <w:r w:rsidR="003E1E3E">
        <w:rPr>
          <w:rFonts w:ascii="Times New Roman" w:hAnsi="Times New Roman" w:cs="Times New Roman"/>
          <w:sz w:val="24"/>
          <w:szCs w:val="24"/>
        </w:rPr>
        <w:t xml:space="preserve"> and </w:t>
      </w:r>
      <w:r w:rsidRPr="00A019E1">
        <w:rPr>
          <w:rFonts w:ascii="Times New Roman" w:hAnsi="Times New Roman" w:cs="Times New Roman"/>
          <w:sz w:val="24"/>
          <w:szCs w:val="24"/>
        </w:rPr>
        <w:t>Carrasco, L.R.</w:t>
      </w:r>
      <w:r w:rsidR="003E1E3E">
        <w:rPr>
          <w:rFonts w:ascii="Times New Roman" w:hAnsi="Times New Roman" w:cs="Times New Roman"/>
          <w:sz w:val="24"/>
          <w:szCs w:val="24"/>
        </w:rPr>
        <w:t xml:space="preserve"> (</w:t>
      </w:r>
      <w:r w:rsidRPr="00A019E1">
        <w:rPr>
          <w:rFonts w:ascii="Times New Roman" w:hAnsi="Times New Roman" w:cs="Times New Roman"/>
          <w:sz w:val="24"/>
          <w:szCs w:val="24"/>
        </w:rPr>
        <w:t>2017</w:t>
      </w:r>
      <w:r w:rsidR="003E1E3E">
        <w:rPr>
          <w:rFonts w:ascii="Times New Roman" w:hAnsi="Times New Roman" w:cs="Times New Roman"/>
          <w:sz w:val="24"/>
          <w:szCs w:val="24"/>
        </w:rPr>
        <w:t>)</w:t>
      </w:r>
      <w:r w:rsidRPr="00A019E1">
        <w:rPr>
          <w:rFonts w:ascii="Times New Roman" w:hAnsi="Times New Roman" w:cs="Times New Roman"/>
          <w:sz w:val="24"/>
          <w:szCs w:val="24"/>
        </w:rPr>
        <w:t>. Auction winning, social dynamics and non-compliance in a payment for ecosystem services scheme in Indonesia. Land use policy, 63, 632-644.</w:t>
      </w:r>
    </w:p>
    <w:p w14:paraId="686E9C31" w14:textId="42CA22BD" w:rsidR="00A019E1" w:rsidRPr="00A019E1" w:rsidRDefault="00A019E1" w:rsidP="00A019E1">
      <w:pPr>
        <w:spacing w:after="0" w:line="360" w:lineRule="auto"/>
        <w:ind w:left="720" w:hanging="720"/>
        <w:jc w:val="both"/>
        <w:rPr>
          <w:rFonts w:ascii="Times New Roman" w:hAnsi="Times New Roman" w:cs="Times New Roman"/>
          <w:sz w:val="24"/>
          <w:szCs w:val="24"/>
        </w:rPr>
      </w:pPr>
      <w:r w:rsidRPr="003E1E3E">
        <w:rPr>
          <w:rFonts w:ascii="Times New Roman" w:hAnsi="Times New Roman" w:cs="Times New Roman"/>
          <w:sz w:val="24"/>
          <w:szCs w:val="24"/>
        </w:rPr>
        <w:t>Messer, K.D., Duke, J.M., Lynch, L.</w:t>
      </w:r>
      <w:r w:rsidR="003E1E3E" w:rsidRPr="003E1E3E">
        <w:rPr>
          <w:rFonts w:ascii="Times New Roman" w:hAnsi="Times New Roman" w:cs="Times New Roman"/>
          <w:sz w:val="24"/>
          <w:szCs w:val="24"/>
        </w:rPr>
        <w:t xml:space="preserve"> and</w:t>
      </w:r>
      <w:r w:rsidRPr="003E1E3E">
        <w:rPr>
          <w:rFonts w:ascii="Times New Roman" w:hAnsi="Times New Roman" w:cs="Times New Roman"/>
          <w:sz w:val="24"/>
          <w:szCs w:val="24"/>
        </w:rPr>
        <w:t xml:space="preserve"> Li, T.</w:t>
      </w:r>
      <w:r w:rsidR="003E1E3E">
        <w:rPr>
          <w:rFonts w:ascii="Times New Roman" w:hAnsi="Times New Roman" w:cs="Times New Roman"/>
          <w:sz w:val="24"/>
          <w:szCs w:val="24"/>
        </w:rPr>
        <w:t xml:space="preserve"> (</w:t>
      </w:r>
      <w:r w:rsidRPr="003E1E3E">
        <w:rPr>
          <w:rFonts w:ascii="Times New Roman" w:hAnsi="Times New Roman" w:cs="Times New Roman"/>
          <w:sz w:val="24"/>
          <w:szCs w:val="24"/>
        </w:rPr>
        <w:t>2017</w:t>
      </w:r>
      <w:r w:rsidR="003E1E3E">
        <w:rPr>
          <w:rFonts w:ascii="Times New Roman" w:hAnsi="Times New Roman" w:cs="Times New Roman"/>
          <w:sz w:val="24"/>
          <w:szCs w:val="24"/>
        </w:rPr>
        <w:t>)</w:t>
      </w:r>
      <w:r w:rsidRPr="003E1E3E">
        <w:rPr>
          <w:rFonts w:ascii="Times New Roman" w:hAnsi="Times New Roman" w:cs="Times New Roman"/>
          <w:sz w:val="24"/>
          <w:szCs w:val="24"/>
        </w:rPr>
        <w:t xml:space="preserve">. </w:t>
      </w:r>
      <w:r w:rsidRPr="00A019E1">
        <w:rPr>
          <w:rFonts w:ascii="Times New Roman" w:hAnsi="Times New Roman" w:cs="Times New Roman"/>
          <w:sz w:val="24"/>
          <w:szCs w:val="24"/>
        </w:rPr>
        <w:t>When Does Public Information Undermine the Efficiency of Reverse Auctions for the Purchase of Ecosystem Services? Ecological Economics, 134, 212-226.</w:t>
      </w:r>
    </w:p>
    <w:p w14:paraId="766AE0A2" w14:textId="3BF11BE6" w:rsidR="00A019E1" w:rsidRPr="00A019E1" w:rsidRDefault="00A019E1" w:rsidP="00A019E1">
      <w:pPr>
        <w:spacing w:after="0" w:line="360" w:lineRule="auto"/>
        <w:ind w:left="720" w:hanging="720"/>
        <w:jc w:val="both"/>
        <w:rPr>
          <w:rFonts w:ascii="Times New Roman" w:hAnsi="Times New Roman" w:cs="Times New Roman"/>
          <w:sz w:val="24"/>
          <w:szCs w:val="24"/>
        </w:rPr>
      </w:pPr>
      <w:r w:rsidRPr="0040442F">
        <w:rPr>
          <w:rFonts w:ascii="Times New Roman" w:hAnsi="Times New Roman" w:cs="Times New Roman"/>
          <w:sz w:val="24"/>
          <w:szCs w:val="24"/>
        </w:rPr>
        <w:t>Narloch, U., Drucker, A.G.</w:t>
      </w:r>
      <w:r w:rsidR="003E1E3E" w:rsidRPr="0040442F">
        <w:rPr>
          <w:rFonts w:ascii="Times New Roman" w:hAnsi="Times New Roman" w:cs="Times New Roman"/>
          <w:sz w:val="24"/>
          <w:szCs w:val="24"/>
        </w:rPr>
        <w:t xml:space="preserve"> and </w:t>
      </w:r>
      <w:r w:rsidRPr="0040442F">
        <w:rPr>
          <w:rFonts w:ascii="Times New Roman" w:hAnsi="Times New Roman" w:cs="Times New Roman"/>
          <w:sz w:val="24"/>
          <w:szCs w:val="24"/>
        </w:rPr>
        <w:t>Pascual, U.</w:t>
      </w:r>
      <w:r w:rsidR="003E1E3E" w:rsidRPr="0040442F">
        <w:rPr>
          <w:rFonts w:ascii="Times New Roman" w:hAnsi="Times New Roman" w:cs="Times New Roman"/>
          <w:sz w:val="24"/>
          <w:szCs w:val="24"/>
        </w:rPr>
        <w:t xml:space="preserve"> (</w:t>
      </w:r>
      <w:r w:rsidRPr="0040442F">
        <w:rPr>
          <w:rFonts w:ascii="Times New Roman" w:hAnsi="Times New Roman" w:cs="Times New Roman"/>
          <w:sz w:val="24"/>
          <w:szCs w:val="24"/>
        </w:rPr>
        <w:t>2017</w:t>
      </w:r>
      <w:r w:rsidR="003E1E3E" w:rsidRPr="0040442F">
        <w:rPr>
          <w:rFonts w:ascii="Times New Roman" w:hAnsi="Times New Roman" w:cs="Times New Roman"/>
          <w:sz w:val="24"/>
          <w:szCs w:val="24"/>
        </w:rPr>
        <w:t>)</w:t>
      </w:r>
      <w:r w:rsidRPr="0040442F">
        <w:rPr>
          <w:rFonts w:ascii="Times New Roman" w:hAnsi="Times New Roman" w:cs="Times New Roman"/>
          <w:sz w:val="24"/>
          <w:szCs w:val="24"/>
        </w:rPr>
        <w:t xml:space="preserve">. </w:t>
      </w:r>
      <w:r w:rsidRPr="00A019E1">
        <w:rPr>
          <w:rFonts w:ascii="Times New Roman" w:hAnsi="Times New Roman" w:cs="Times New Roman"/>
          <w:sz w:val="24"/>
          <w:szCs w:val="24"/>
        </w:rPr>
        <w:t>What role for cooperation in conservation tenders? Paying farmer groups in the High Andes. Land Use Policy, 63, 659-671.</w:t>
      </w:r>
    </w:p>
    <w:p w14:paraId="7D38A913" w14:textId="1AB47A12" w:rsidR="00A019E1" w:rsidRPr="00A019E1" w:rsidRDefault="00A019E1" w:rsidP="00A019E1">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lang w:val="de-DE"/>
        </w:rPr>
        <w:t>Narloch, U.,Pascual, U</w:t>
      </w:r>
      <w:r w:rsidR="003E1E3E">
        <w:rPr>
          <w:rFonts w:ascii="Times New Roman" w:hAnsi="Times New Roman" w:cs="Times New Roman"/>
          <w:sz w:val="24"/>
          <w:szCs w:val="24"/>
          <w:lang w:val="de-DE"/>
        </w:rPr>
        <w:t xml:space="preserve">. and </w:t>
      </w:r>
      <w:r w:rsidRPr="00A019E1">
        <w:rPr>
          <w:rFonts w:ascii="Times New Roman" w:hAnsi="Times New Roman" w:cs="Times New Roman"/>
          <w:sz w:val="24"/>
          <w:szCs w:val="24"/>
          <w:lang w:val="de-DE"/>
        </w:rPr>
        <w:t>Drucker, A.G</w:t>
      </w:r>
      <w:r w:rsidR="003E1E3E">
        <w:rPr>
          <w:rFonts w:ascii="Times New Roman" w:hAnsi="Times New Roman" w:cs="Times New Roman"/>
          <w:sz w:val="24"/>
          <w:szCs w:val="24"/>
          <w:lang w:val="de-DE"/>
        </w:rPr>
        <w:t>. (</w:t>
      </w:r>
      <w:r w:rsidRPr="00A019E1">
        <w:rPr>
          <w:rFonts w:ascii="Times New Roman" w:hAnsi="Times New Roman" w:cs="Times New Roman"/>
          <w:sz w:val="24"/>
          <w:szCs w:val="24"/>
          <w:lang w:val="de-DE"/>
        </w:rPr>
        <w:t>2013</w:t>
      </w:r>
      <w:r w:rsidR="003E1E3E">
        <w:rPr>
          <w:rFonts w:ascii="Times New Roman" w:hAnsi="Times New Roman" w:cs="Times New Roman"/>
          <w:sz w:val="24"/>
          <w:szCs w:val="24"/>
          <w:lang w:val="de-DE"/>
        </w:rPr>
        <w:t>)</w:t>
      </w:r>
      <w:r w:rsidRPr="00A019E1">
        <w:rPr>
          <w:rFonts w:ascii="Times New Roman" w:hAnsi="Times New Roman" w:cs="Times New Roman"/>
          <w:sz w:val="24"/>
          <w:szCs w:val="24"/>
          <w:lang w:val="de-DE"/>
        </w:rPr>
        <w:t xml:space="preserve">. </w:t>
      </w:r>
      <w:r w:rsidRPr="00A019E1">
        <w:rPr>
          <w:rFonts w:ascii="Times New Roman" w:hAnsi="Times New Roman" w:cs="Times New Roman"/>
          <w:sz w:val="24"/>
          <w:szCs w:val="24"/>
        </w:rPr>
        <w:t>How to achieve fairness in payments for ecosystem services? Insights from agrobiodiversity conservation auctions. Land Use Policy, 35, 107-118.</w:t>
      </w:r>
    </w:p>
    <w:p w14:paraId="01BB326C" w14:textId="0E23FAB3" w:rsidR="00A019E1" w:rsidRPr="00A019E1" w:rsidRDefault="00A019E1" w:rsidP="00A019E1">
      <w:pPr>
        <w:spacing w:after="0" w:line="360" w:lineRule="auto"/>
        <w:ind w:left="720" w:hanging="720"/>
        <w:jc w:val="both"/>
        <w:rPr>
          <w:rFonts w:ascii="Times New Roman" w:hAnsi="Times New Roman" w:cs="Times New Roman"/>
          <w:sz w:val="24"/>
          <w:szCs w:val="24"/>
        </w:rPr>
      </w:pPr>
      <w:r w:rsidRPr="003E1E3E">
        <w:rPr>
          <w:rFonts w:ascii="Times New Roman" w:hAnsi="Times New Roman" w:cs="Times New Roman"/>
          <w:sz w:val="24"/>
          <w:szCs w:val="24"/>
        </w:rPr>
        <w:t>Otto, s., Poe, G.</w:t>
      </w:r>
      <w:r w:rsidR="003E1E3E" w:rsidRPr="003E1E3E">
        <w:rPr>
          <w:rFonts w:ascii="Times New Roman" w:hAnsi="Times New Roman" w:cs="Times New Roman"/>
          <w:sz w:val="24"/>
          <w:szCs w:val="24"/>
        </w:rPr>
        <w:t xml:space="preserve"> and </w:t>
      </w:r>
      <w:r w:rsidRPr="003E1E3E">
        <w:rPr>
          <w:rFonts w:ascii="Times New Roman" w:hAnsi="Times New Roman" w:cs="Times New Roman"/>
          <w:sz w:val="24"/>
          <w:szCs w:val="24"/>
        </w:rPr>
        <w:t>Just, D.</w:t>
      </w:r>
      <w:r w:rsidR="003E1E3E">
        <w:rPr>
          <w:rFonts w:ascii="Times New Roman" w:hAnsi="Times New Roman" w:cs="Times New Roman"/>
          <w:sz w:val="24"/>
          <w:szCs w:val="24"/>
        </w:rPr>
        <w:t xml:space="preserve"> (</w:t>
      </w:r>
      <w:r w:rsidRPr="003E1E3E">
        <w:rPr>
          <w:rFonts w:ascii="Times New Roman" w:hAnsi="Times New Roman" w:cs="Times New Roman"/>
          <w:sz w:val="24"/>
          <w:szCs w:val="24"/>
        </w:rPr>
        <w:t>2021</w:t>
      </w:r>
      <w:r w:rsidR="003E1E3E">
        <w:rPr>
          <w:rFonts w:ascii="Times New Roman" w:hAnsi="Times New Roman" w:cs="Times New Roman"/>
          <w:sz w:val="24"/>
          <w:szCs w:val="24"/>
        </w:rPr>
        <w:t>)</w:t>
      </w:r>
      <w:r w:rsidRPr="003E1E3E">
        <w:rPr>
          <w:rFonts w:ascii="Times New Roman" w:hAnsi="Times New Roman" w:cs="Times New Roman"/>
          <w:sz w:val="24"/>
          <w:szCs w:val="24"/>
        </w:rPr>
        <w:t xml:space="preserve">. </w:t>
      </w:r>
      <w:r w:rsidRPr="00A019E1">
        <w:rPr>
          <w:rFonts w:ascii="Times New Roman" w:hAnsi="Times New Roman" w:cs="Times New Roman"/>
          <w:sz w:val="24"/>
          <w:szCs w:val="24"/>
        </w:rPr>
        <w:t>Provision Point Reverse Auction: A New Auction Mechanism with Applications for Conservation Contracts. Journal of Agricultural and Resource Economics 46(1):134–151.</w:t>
      </w:r>
    </w:p>
    <w:p w14:paraId="0589F7BC" w14:textId="3C5C4ED8" w:rsidR="00A019E1" w:rsidRPr="00A019E1" w:rsidRDefault="00A019E1" w:rsidP="00A019E1">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t xml:space="preserve">Palm-foster, L.H., Swinton, S.M., Redder. </w:t>
      </w:r>
      <w:r w:rsidRPr="003E1E3E">
        <w:rPr>
          <w:rFonts w:ascii="Times New Roman" w:hAnsi="Times New Roman" w:cs="Times New Roman"/>
          <w:sz w:val="24"/>
          <w:szCs w:val="24"/>
        </w:rPr>
        <w:t>T.M., DePinto, J.V.</w:t>
      </w:r>
      <w:r w:rsidR="003E1E3E" w:rsidRPr="003E1E3E">
        <w:rPr>
          <w:rFonts w:ascii="Times New Roman" w:hAnsi="Times New Roman" w:cs="Times New Roman"/>
          <w:sz w:val="24"/>
          <w:szCs w:val="24"/>
        </w:rPr>
        <w:t xml:space="preserve"> and</w:t>
      </w:r>
      <w:r w:rsidRPr="003E1E3E">
        <w:rPr>
          <w:rFonts w:ascii="Times New Roman" w:hAnsi="Times New Roman" w:cs="Times New Roman"/>
          <w:sz w:val="24"/>
          <w:szCs w:val="24"/>
        </w:rPr>
        <w:t xml:space="preserve"> Boles. </w:t>
      </w:r>
      <w:r w:rsidRPr="00A019E1">
        <w:rPr>
          <w:rFonts w:ascii="Times New Roman" w:hAnsi="Times New Roman" w:cs="Times New Roman"/>
          <w:sz w:val="24"/>
          <w:szCs w:val="24"/>
        </w:rPr>
        <w:t>M.W.C.</w:t>
      </w:r>
      <w:r w:rsidR="003E1E3E">
        <w:rPr>
          <w:rFonts w:ascii="Times New Roman" w:hAnsi="Times New Roman" w:cs="Times New Roman"/>
          <w:sz w:val="24"/>
          <w:szCs w:val="24"/>
        </w:rPr>
        <w:t xml:space="preserve"> (</w:t>
      </w:r>
      <w:r w:rsidRPr="00A019E1">
        <w:rPr>
          <w:rFonts w:ascii="Times New Roman" w:hAnsi="Times New Roman" w:cs="Times New Roman"/>
          <w:sz w:val="24"/>
          <w:szCs w:val="24"/>
        </w:rPr>
        <w:t>2016</w:t>
      </w:r>
      <w:r w:rsidR="003E1E3E">
        <w:rPr>
          <w:rFonts w:ascii="Times New Roman" w:hAnsi="Times New Roman" w:cs="Times New Roman"/>
          <w:sz w:val="24"/>
          <w:szCs w:val="24"/>
        </w:rPr>
        <w:t>)</w:t>
      </w:r>
      <w:r w:rsidRPr="00A019E1">
        <w:rPr>
          <w:rFonts w:ascii="Times New Roman" w:hAnsi="Times New Roman" w:cs="Times New Roman"/>
          <w:sz w:val="24"/>
          <w:szCs w:val="24"/>
        </w:rPr>
        <w:t>. Using conservation auctions informed by environmental performance models to reduce agricultural nutrient flows into Lake Erie. Journal of Great Lakes Research, 42(6), 1357-1371.</w:t>
      </w:r>
    </w:p>
    <w:p w14:paraId="18F19801" w14:textId="088DE09A" w:rsidR="00A019E1" w:rsidRPr="00A019E1" w:rsidRDefault="00A019E1" w:rsidP="00A019E1">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t xml:space="preserve">Pant, K.P. </w:t>
      </w:r>
      <w:r w:rsidR="003E1E3E">
        <w:rPr>
          <w:rFonts w:ascii="Times New Roman" w:hAnsi="Times New Roman" w:cs="Times New Roman"/>
          <w:sz w:val="24"/>
          <w:szCs w:val="24"/>
        </w:rPr>
        <w:t>(</w:t>
      </w:r>
      <w:r w:rsidRPr="00A019E1">
        <w:rPr>
          <w:rFonts w:ascii="Times New Roman" w:hAnsi="Times New Roman" w:cs="Times New Roman"/>
          <w:sz w:val="24"/>
          <w:szCs w:val="24"/>
        </w:rPr>
        <w:t>2014</w:t>
      </w:r>
      <w:r w:rsidR="003E1E3E">
        <w:rPr>
          <w:rFonts w:ascii="Times New Roman" w:hAnsi="Times New Roman" w:cs="Times New Roman"/>
          <w:sz w:val="24"/>
          <w:szCs w:val="24"/>
        </w:rPr>
        <w:t>)</w:t>
      </w:r>
      <w:r w:rsidRPr="00A019E1">
        <w:rPr>
          <w:rFonts w:ascii="Times New Roman" w:hAnsi="Times New Roman" w:cs="Times New Roman"/>
          <w:sz w:val="24"/>
          <w:szCs w:val="24"/>
        </w:rPr>
        <w:t>. Uniform-Price Reverse Auction for Estimating the Costs of Reducing Open-Field Burning of Rice Residue in Nepal. Environmental and Resource Economics, 62, 567-581.</w:t>
      </w:r>
    </w:p>
    <w:p w14:paraId="07612B62" w14:textId="41040547" w:rsidR="00A019E1" w:rsidRPr="00A019E1" w:rsidRDefault="00A019E1" w:rsidP="00A019E1">
      <w:pPr>
        <w:spacing w:after="0" w:line="360" w:lineRule="auto"/>
        <w:ind w:left="720" w:hanging="720"/>
        <w:jc w:val="both"/>
        <w:rPr>
          <w:rFonts w:ascii="Times New Roman" w:hAnsi="Times New Roman" w:cs="Times New Roman"/>
          <w:sz w:val="24"/>
          <w:szCs w:val="24"/>
        </w:rPr>
      </w:pPr>
      <w:r w:rsidRPr="0040442F">
        <w:rPr>
          <w:rFonts w:ascii="Times New Roman" w:hAnsi="Times New Roman" w:cs="Times New Roman"/>
          <w:sz w:val="24"/>
          <w:szCs w:val="24"/>
        </w:rPr>
        <w:t>Rolfe, J., Windle, J.</w:t>
      </w:r>
      <w:r w:rsidR="003E1E3E" w:rsidRPr="0040442F">
        <w:rPr>
          <w:rFonts w:ascii="Times New Roman" w:hAnsi="Times New Roman" w:cs="Times New Roman"/>
          <w:sz w:val="24"/>
          <w:szCs w:val="24"/>
        </w:rPr>
        <w:t xml:space="preserve"> and </w:t>
      </w:r>
      <w:r w:rsidRPr="0040442F">
        <w:rPr>
          <w:rFonts w:ascii="Times New Roman" w:hAnsi="Times New Roman" w:cs="Times New Roman"/>
          <w:sz w:val="24"/>
          <w:szCs w:val="24"/>
        </w:rPr>
        <w:t>McCosker, J.</w:t>
      </w:r>
      <w:r w:rsidR="003E1E3E" w:rsidRPr="0040442F">
        <w:rPr>
          <w:rFonts w:ascii="Times New Roman" w:hAnsi="Times New Roman" w:cs="Times New Roman"/>
          <w:sz w:val="24"/>
          <w:szCs w:val="24"/>
        </w:rPr>
        <w:t xml:space="preserve"> (</w:t>
      </w:r>
      <w:r w:rsidRPr="0040442F">
        <w:rPr>
          <w:rFonts w:ascii="Times New Roman" w:hAnsi="Times New Roman" w:cs="Times New Roman"/>
          <w:sz w:val="24"/>
          <w:szCs w:val="24"/>
        </w:rPr>
        <w:t>2009</w:t>
      </w:r>
      <w:r w:rsidR="003E1E3E" w:rsidRPr="0040442F">
        <w:rPr>
          <w:rFonts w:ascii="Times New Roman" w:hAnsi="Times New Roman" w:cs="Times New Roman"/>
          <w:sz w:val="24"/>
          <w:szCs w:val="24"/>
        </w:rPr>
        <w:t>)</w:t>
      </w:r>
      <w:r w:rsidRPr="0040442F">
        <w:rPr>
          <w:rFonts w:ascii="Times New Roman" w:hAnsi="Times New Roman" w:cs="Times New Roman"/>
          <w:sz w:val="24"/>
          <w:szCs w:val="24"/>
        </w:rPr>
        <w:t xml:space="preserve">. </w:t>
      </w:r>
      <w:r w:rsidRPr="00A019E1">
        <w:rPr>
          <w:rFonts w:ascii="Times New Roman" w:hAnsi="Times New Roman" w:cs="Times New Roman"/>
          <w:sz w:val="24"/>
          <w:szCs w:val="24"/>
        </w:rPr>
        <w:t>Testing and Implementing the Use of Multiple Bidding Rounds in Conservation Auctions: A Case Study Application. Canadian Journal of Agricultural Economics, 57, 287–303.</w:t>
      </w:r>
    </w:p>
    <w:p w14:paraId="35CA0EB4" w14:textId="5390379F" w:rsidR="00A019E1" w:rsidRPr="00A019E1" w:rsidRDefault="00A019E1" w:rsidP="00A019E1">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t>Rolfe, J., Schilizzi, S., Boxall, P.</w:t>
      </w:r>
      <w:r w:rsidR="003E1E3E">
        <w:rPr>
          <w:rFonts w:ascii="Times New Roman" w:hAnsi="Times New Roman" w:cs="Times New Roman"/>
          <w:sz w:val="24"/>
          <w:szCs w:val="24"/>
        </w:rPr>
        <w:t xml:space="preserve"> and </w:t>
      </w:r>
      <w:r w:rsidRPr="00A019E1">
        <w:rPr>
          <w:rFonts w:ascii="Times New Roman" w:hAnsi="Times New Roman" w:cs="Times New Roman"/>
          <w:sz w:val="24"/>
          <w:szCs w:val="24"/>
        </w:rPr>
        <w:t xml:space="preserve">Latacz-Lohmann, U. </w:t>
      </w:r>
      <w:r w:rsidR="003E1E3E">
        <w:rPr>
          <w:rFonts w:ascii="Times New Roman" w:hAnsi="Times New Roman" w:cs="Times New Roman"/>
          <w:sz w:val="24"/>
          <w:szCs w:val="24"/>
        </w:rPr>
        <w:t>(</w:t>
      </w:r>
      <w:r w:rsidRPr="00A019E1">
        <w:rPr>
          <w:rFonts w:ascii="Times New Roman" w:hAnsi="Times New Roman" w:cs="Times New Roman"/>
          <w:sz w:val="24"/>
          <w:szCs w:val="24"/>
        </w:rPr>
        <w:t>2018</w:t>
      </w:r>
      <w:r w:rsidR="003E1E3E">
        <w:rPr>
          <w:rFonts w:ascii="Times New Roman" w:hAnsi="Times New Roman" w:cs="Times New Roman"/>
          <w:sz w:val="24"/>
          <w:szCs w:val="24"/>
        </w:rPr>
        <w:t>)</w:t>
      </w:r>
      <w:r w:rsidRPr="00A019E1">
        <w:rPr>
          <w:rFonts w:ascii="Times New Roman" w:hAnsi="Times New Roman" w:cs="Times New Roman"/>
          <w:sz w:val="24"/>
          <w:szCs w:val="24"/>
        </w:rPr>
        <w:t>. Identifying the Causes of Low Participation Rates in Conservation Tenders. International Review of Environmental and Resource Economics, 12, 1-45.</w:t>
      </w:r>
    </w:p>
    <w:p w14:paraId="23A2E526" w14:textId="78637856" w:rsidR="00A019E1" w:rsidRPr="00A019E1" w:rsidRDefault="00A019E1" w:rsidP="00A019E1">
      <w:pPr>
        <w:spacing w:after="0" w:line="360" w:lineRule="auto"/>
        <w:ind w:left="720" w:hanging="720"/>
        <w:jc w:val="both"/>
        <w:rPr>
          <w:rFonts w:ascii="Times New Roman" w:hAnsi="Times New Roman" w:cs="Times New Roman"/>
          <w:sz w:val="24"/>
          <w:szCs w:val="24"/>
        </w:rPr>
      </w:pPr>
      <w:r w:rsidRPr="003E1E3E">
        <w:rPr>
          <w:rFonts w:ascii="Times New Roman" w:hAnsi="Times New Roman" w:cs="Times New Roman"/>
          <w:sz w:val="24"/>
          <w:szCs w:val="24"/>
        </w:rPr>
        <w:lastRenderedPageBreak/>
        <w:t>Santos, E.C., Storm, H.</w:t>
      </w:r>
      <w:r w:rsidR="003E1E3E" w:rsidRPr="003E1E3E">
        <w:rPr>
          <w:rFonts w:ascii="Times New Roman" w:hAnsi="Times New Roman" w:cs="Times New Roman"/>
          <w:sz w:val="24"/>
          <w:szCs w:val="24"/>
        </w:rPr>
        <w:t xml:space="preserve"> and </w:t>
      </w:r>
      <w:r w:rsidRPr="003E1E3E">
        <w:rPr>
          <w:rFonts w:ascii="Times New Roman" w:hAnsi="Times New Roman" w:cs="Times New Roman"/>
          <w:sz w:val="24"/>
          <w:szCs w:val="24"/>
        </w:rPr>
        <w:t xml:space="preserve">Rasch, S. </w:t>
      </w:r>
      <w:r w:rsidR="003E1E3E">
        <w:rPr>
          <w:rFonts w:ascii="Times New Roman" w:hAnsi="Times New Roman" w:cs="Times New Roman"/>
          <w:sz w:val="24"/>
          <w:szCs w:val="24"/>
        </w:rPr>
        <w:t>(</w:t>
      </w:r>
      <w:r w:rsidRPr="003E1E3E">
        <w:rPr>
          <w:rFonts w:ascii="Times New Roman" w:hAnsi="Times New Roman" w:cs="Times New Roman"/>
          <w:sz w:val="24"/>
          <w:szCs w:val="24"/>
        </w:rPr>
        <w:t>2021</w:t>
      </w:r>
      <w:r w:rsidR="003E1E3E">
        <w:rPr>
          <w:rFonts w:ascii="Times New Roman" w:hAnsi="Times New Roman" w:cs="Times New Roman"/>
          <w:sz w:val="24"/>
          <w:szCs w:val="24"/>
        </w:rPr>
        <w:t>)</w:t>
      </w:r>
      <w:r w:rsidRPr="003E1E3E">
        <w:rPr>
          <w:rFonts w:ascii="Times New Roman" w:hAnsi="Times New Roman" w:cs="Times New Roman"/>
          <w:sz w:val="24"/>
          <w:szCs w:val="24"/>
        </w:rPr>
        <w:t xml:space="preserve">. </w:t>
      </w:r>
      <w:r w:rsidRPr="00A019E1">
        <w:rPr>
          <w:rFonts w:ascii="Times New Roman" w:hAnsi="Times New Roman" w:cs="Times New Roman"/>
          <w:sz w:val="24"/>
          <w:szCs w:val="24"/>
        </w:rPr>
        <w:t>The cost-effectiveness of conservation auctions in the presence of asset specificity: An agent-based model. Land Use Policy, 102, 104907.</w:t>
      </w:r>
    </w:p>
    <w:p w14:paraId="3B3DA531" w14:textId="56953A6E" w:rsidR="00A019E1" w:rsidRPr="00A019E1" w:rsidRDefault="00A019E1" w:rsidP="00A019E1">
      <w:pPr>
        <w:spacing w:after="0" w:line="360" w:lineRule="auto"/>
        <w:ind w:left="720" w:hanging="720"/>
        <w:jc w:val="both"/>
        <w:rPr>
          <w:rFonts w:ascii="Times New Roman" w:hAnsi="Times New Roman" w:cs="Times New Roman"/>
          <w:sz w:val="24"/>
          <w:szCs w:val="24"/>
        </w:rPr>
      </w:pPr>
      <w:r w:rsidRPr="0040442F">
        <w:rPr>
          <w:rFonts w:ascii="Times New Roman" w:hAnsi="Times New Roman" w:cs="Times New Roman"/>
          <w:sz w:val="24"/>
          <w:szCs w:val="24"/>
        </w:rPr>
        <w:t>Schilizzi, S.</w:t>
      </w:r>
      <w:r w:rsidR="003E1E3E" w:rsidRPr="0040442F">
        <w:rPr>
          <w:rFonts w:ascii="Times New Roman" w:hAnsi="Times New Roman" w:cs="Times New Roman"/>
          <w:sz w:val="24"/>
          <w:szCs w:val="24"/>
        </w:rPr>
        <w:t xml:space="preserve"> and </w:t>
      </w:r>
      <w:r w:rsidRPr="0040442F">
        <w:rPr>
          <w:rFonts w:ascii="Times New Roman" w:hAnsi="Times New Roman" w:cs="Times New Roman"/>
          <w:sz w:val="24"/>
          <w:szCs w:val="24"/>
        </w:rPr>
        <w:t>Latacz-Lohmann, U.</w:t>
      </w:r>
      <w:r w:rsidR="003E1E3E" w:rsidRPr="0040442F">
        <w:rPr>
          <w:rFonts w:ascii="Times New Roman" w:hAnsi="Times New Roman" w:cs="Times New Roman"/>
          <w:sz w:val="24"/>
          <w:szCs w:val="24"/>
        </w:rPr>
        <w:t xml:space="preserve"> (</w:t>
      </w:r>
      <w:r w:rsidRPr="0040442F">
        <w:rPr>
          <w:rFonts w:ascii="Times New Roman" w:hAnsi="Times New Roman" w:cs="Times New Roman"/>
          <w:sz w:val="24"/>
          <w:szCs w:val="24"/>
        </w:rPr>
        <w:t>2007</w:t>
      </w:r>
      <w:r w:rsidR="003E1E3E" w:rsidRPr="0040442F">
        <w:rPr>
          <w:rFonts w:ascii="Times New Roman" w:hAnsi="Times New Roman" w:cs="Times New Roman"/>
          <w:sz w:val="24"/>
          <w:szCs w:val="24"/>
        </w:rPr>
        <w:t>)</w:t>
      </w:r>
      <w:r w:rsidRPr="0040442F">
        <w:rPr>
          <w:rFonts w:ascii="Times New Roman" w:hAnsi="Times New Roman" w:cs="Times New Roman"/>
          <w:sz w:val="24"/>
          <w:szCs w:val="24"/>
        </w:rPr>
        <w:t xml:space="preserve">. </w:t>
      </w:r>
      <w:r w:rsidRPr="00A019E1">
        <w:rPr>
          <w:rFonts w:ascii="Times New Roman" w:hAnsi="Times New Roman" w:cs="Times New Roman"/>
          <w:sz w:val="24"/>
          <w:szCs w:val="24"/>
        </w:rPr>
        <w:t>Assessing the Performance of Conservation Auctions: An Experimental Study. Land Economics, 83(4): 497-515.</w:t>
      </w:r>
    </w:p>
    <w:p w14:paraId="46F72018" w14:textId="3DD88D76" w:rsidR="00A019E1" w:rsidRPr="0040442F" w:rsidRDefault="00A019E1" w:rsidP="00A019E1">
      <w:pPr>
        <w:spacing w:after="0" w:line="360" w:lineRule="auto"/>
        <w:ind w:left="720" w:hanging="720"/>
        <w:rPr>
          <w:rFonts w:ascii="Times New Roman" w:hAnsi="Times New Roman" w:cs="Times New Roman"/>
          <w:sz w:val="24"/>
          <w:szCs w:val="24"/>
        </w:rPr>
      </w:pPr>
      <w:r w:rsidRPr="0040442F">
        <w:rPr>
          <w:rFonts w:ascii="Times New Roman" w:hAnsi="Times New Roman" w:cs="Times New Roman"/>
          <w:sz w:val="24"/>
          <w:szCs w:val="24"/>
        </w:rPr>
        <w:t>Schilizzi, S.</w:t>
      </w:r>
      <w:r w:rsidR="003E1E3E" w:rsidRPr="0040442F">
        <w:rPr>
          <w:rFonts w:ascii="Times New Roman" w:hAnsi="Times New Roman" w:cs="Times New Roman"/>
          <w:sz w:val="24"/>
          <w:szCs w:val="24"/>
        </w:rPr>
        <w:t xml:space="preserve"> and</w:t>
      </w:r>
      <w:r w:rsidRPr="0040442F">
        <w:rPr>
          <w:rFonts w:ascii="Times New Roman" w:hAnsi="Times New Roman" w:cs="Times New Roman"/>
          <w:sz w:val="24"/>
          <w:szCs w:val="24"/>
        </w:rPr>
        <w:t xml:space="preserve"> Latacz-Lohmann, U. </w:t>
      </w:r>
      <w:r w:rsidR="003E1E3E" w:rsidRPr="0040442F">
        <w:rPr>
          <w:rFonts w:ascii="Times New Roman" w:hAnsi="Times New Roman" w:cs="Times New Roman"/>
          <w:sz w:val="24"/>
          <w:szCs w:val="24"/>
        </w:rPr>
        <w:t>(</w:t>
      </w:r>
      <w:r w:rsidRPr="0040442F">
        <w:rPr>
          <w:rFonts w:ascii="Times New Roman" w:hAnsi="Times New Roman" w:cs="Times New Roman"/>
          <w:sz w:val="24"/>
          <w:szCs w:val="24"/>
        </w:rPr>
        <w:t>2012</w:t>
      </w:r>
      <w:r w:rsidR="003E1E3E" w:rsidRPr="0040442F">
        <w:rPr>
          <w:rFonts w:ascii="Times New Roman" w:hAnsi="Times New Roman" w:cs="Times New Roman"/>
          <w:sz w:val="24"/>
          <w:szCs w:val="24"/>
        </w:rPr>
        <w:t>)</w:t>
      </w:r>
      <w:r w:rsidRPr="0040442F">
        <w:rPr>
          <w:rFonts w:ascii="Times New Roman" w:hAnsi="Times New Roman" w:cs="Times New Roman"/>
          <w:sz w:val="24"/>
          <w:szCs w:val="24"/>
        </w:rPr>
        <w:t xml:space="preserve">. </w:t>
      </w:r>
      <w:r w:rsidRPr="00A019E1">
        <w:rPr>
          <w:rFonts w:ascii="Times New Roman" w:hAnsi="Times New Roman" w:cs="Times New Roman"/>
          <w:sz w:val="24"/>
          <w:szCs w:val="24"/>
        </w:rPr>
        <w:t xml:space="preserve">Evaluating Conservation Auctions with Unknown Bidder Costs: The Scottish Fishing Vessel Decommissioning Program. </w:t>
      </w:r>
      <w:r w:rsidRPr="0040442F">
        <w:rPr>
          <w:rFonts w:ascii="Times New Roman" w:hAnsi="Times New Roman" w:cs="Times New Roman"/>
          <w:sz w:val="24"/>
          <w:szCs w:val="24"/>
        </w:rPr>
        <w:t xml:space="preserve">Land Economics, 88(4): </w:t>
      </w:r>
      <w:r w:rsidRPr="0040442F">
        <w:rPr>
          <w:rFonts w:ascii="Times New Roman" w:hAnsi="Times New Roman" w:cs="Times New Roman"/>
        </w:rPr>
        <w:t>658-673</w:t>
      </w:r>
      <w:r w:rsidRPr="0040442F">
        <w:rPr>
          <w:rFonts w:ascii="Times New Roman" w:hAnsi="Times New Roman" w:cs="Times New Roman"/>
          <w:sz w:val="24"/>
          <w:szCs w:val="24"/>
        </w:rPr>
        <w:t>.</w:t>
      </w:r>
    </w:p>
    <w:p w14:paraId="119703A6" w14:textId="58CCF48C" w:rsidR="00A019E1" w:rsidRPr="00A019E1" w:rsidRDefault="00A019E1" w:rsidP="00A019E1">
      <w:pPr>
        <w:spacing w:after="0" w:line="360" w:lineRule="auto"/>
        <w:ind w:left="720" w:hanging="720"/>
        <w:jc w:val="both"/>
        <w:rPr>
          <w:rFonts w:ascii="Times New Roman" w:hAnsi="Times New Roman" w:cs="Times New Roman"/>
          <w:sz w:val="24"/>
          <w:szCs w:val="24"/>
        </w:rPr>
      </w:pPr>
      <w:r w:rsidRPr="0040442F">
        <w:rPr>
          <w:rFonts w:ascii="Times New Roman" w:hAnsi="Times New Roman" w:cs="Times New Roman"/>
          <w:sz w:val="24"/>
          <w:szCs w:val="24"/>
        </w:rPr>
        <w:t>Stoneham, G., Chaudhri, V., Ha, A.</w:t>
      </w:r>
      <w:r w:rsidR="003E1E3E" w:rsidRPr="0040442F">
        <w:rPr>
          <w:rFonts w:ascii="Times New Roman" w:hAnsi="Times New Roman" w:cs="Times New Roman"/>
          <w:sz w:val="24"/>
          <w:szCs w:val="24"/>
        </w:rPr>
        <w:t xml:space="preserve"> and </w:t>
      </w:r>
      <w:r w:rsidRPr="0040442F">
        <w:rPr>
          <w:rFonts w:ascii="Times New Roman" w:hAnsi="Times New Roman" w:cs="Times New Roman"/>
          <w:sz w:val="24"/>
          <w:szCs w:val="24"/>
        </w:rPr>
        <w:t>Strappazzon, L.</w:t>
      </w:r>
      <w:r w:rsidR="003E1E3E" w:rsidRPr="0040442F">
        <w:rPr>
          <w:rFonts w:ascii="Times New Roman" w:hAnsi="Times New Roman" w:cs="Times New Roman"/>
          <w:sz w:val="24"/>
          <w:szCs w:val="24"/>
        </w:rPr>
        <w:t xml:space="preserve"> (</w:t>
      </w:r>
      <w:r w:rsidRPr="0040442F">
        <w:rPr>
          <w:rFonts w:ascii="Times New Roman" w:hAnsi="Times New Roman" w:cs="Times New Roman"/>
          <w:sz w:val="24"/>
          <w:szCs w:val="24"/>
        </w:rPr>
        <w:t>2003</w:t>
      </w:r>
      <w:r w:rsidR="003E1E3E" w:rsidRPr="0040442F">
        <w:rPr>
          <w:rFonts w:ascii="Times New Roman" w:hAnsi="Times New Roman" w:cs="Times New Roman"/>
          <w:sz w:val="24"/>
          <w:szCs w:val="24"/>
        </w:rPr>
        <w:t>)</w:t>
      </w:r>
      <w:r w:rsidRPr="0040442F">
        <w:rPr>
          <w:rFonts w:ascii="Times New Roman" w:hAnsi="Times New Roman" w:cs="Times New Roman"/>
          <w:sz w:val="24"/>
          <w:szCs w:val="24"/>
        </w:rPr>
        <w:t xml:space="preserve">. </w:t>
      </w:r>
      <w:r w:rsidRPr="00A019E1">
        <w:rPr>
          <w:rFonts w:ascii="Times New Roman" w:hAnsi="Times New Roman" w:cs="Times New Roman"/>
          <w:sz w:val="24"/>
          <w:szCs w:val="24"/>
        </w:rPr>
        <w:t>Auctions for conservation contracts: an empirical examination of Victoria’s BushTender trial. The Australian Journal of Agricultural and Resource Economics, 47(4), 477–500.</w:t>
      </w:r>
    </w:p>
    <w:p w14:paraId="6973C35B" w14:textId="77F6BF44" w:rsidR="00A019E1" w:rsidRPr="00A019E1" w:rsidRDefault="00A019E1" w:rsidP="00A019E1">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t>Thurston, H.W., Taylor, M.A., Shuster, W.D., Roy, A.H.</w:t>
      </w:r>
      <w:r w:rsidR="003E1E3E">
        <w:rPr>
          <w:rFonts w:ascii="Times New Roman" w:hAnsi="Times New Roman" w:cs="Times New Roman"/>
          <w:sz w:val="24"/>
          <w:szCs w:val="24"/>
        </w:rPr>
        <w:t xml:space="preserve"> and</w:t>
      </w:r>
      <w:r w:rsidRPr="00A019E1">
        <w:rPr>
          <w:rFonts w:ascii="Times New Roman" w:hAnsi="Times New Roman" w:cs="Times New Roman"/>
          <w:sz w:val="24"/>
          <w:szCs w:val="24"/>
        </w:rPr>
        <w:t xml:space="preserve"> Morrison, M.A.</w:t>
      </w:r>
      <w:r w:rsidR="003E1E3E">
        <w:rPr>
          <w:rFonts w:ascii="Times New Roman" w:hAnsi="Times New Roman" w:cs="Times New Roman"/>
          <w:sz w:val="24"/>
          <w:szCs w:val="24"/>
        </w:rPr>
        <w:t xml:space="preserve"> (</w:t>
      </w:r>
      <w:r w:rsidRPr="00A019E1">
        <w:rPr>
          <w:rFonts w:ascii="Times New Roman" w:hAnsi="Times New Roman" w:cs="Times New Roman"/>
          <w:sz w:val="24"/>
          <w:szCs w:val="24"/>
        </w:rPr>
        <w:t>2010</w:t>
      </w:r>
      <w:r w:rsidR="003E1E3E">
        <w:rPr>
          <w:rFonts w:ascii="Times New Roman" w:hAnsi="Times New Roman" w:cs="Times New Roman"/>
          <w:sz w:val="24"/>
          <w:szCs w:val="24"/>
        </w:rPr>
        <w:t>)</w:t>
      </w:r>
      <w:r w:rsidRPr="00A019E1">
        <w:rPr>
          <w:rFonts w:ascii="Times New Roman" w:hAnsi="Times New Roman" w:cs="Times New Roman"/>
          <w:sz w:val="24"/>
          <w:szCs w:val="24"/>
        </w:rPr>
        <w:t>. Using a reverse auction to promote household level stormwater control.</w:t>
      </w:r>
      <w:r w:rsidR="003E1E3E">
        <w:rPr>
          <w:rFonts w:ascii="Times New Roman" w:hAnsi="Times New Roman" w:cs="Times New Roman"/>
          <w:sz w:val="24"/>
          <w:szCs w:val="24"/>
        </w:rPr>
        <w:t xml:space="preserve"> </w:t>
      </w:r>
      <w:r w:rsidRPr="00A019E1">
        <w:rPr>
          <w:rFonts w:ascii="Times New Roman" w:hAnsi="Times New Roman" w:cs="Times New Roman"/>
          <w:sz w:val="24"/>
          <w:szCs w:val="24"/>
        </w:rPr>
        <w:t>Environmental Science &amp; Policy, 13(5), 405-414.</w:t>
      </w:r>
    </w:p>
    <w:p w14:paraId="191A61E9" w14:textId="7AA5F03A" w:rsidR="00A019E1" w:rsidRPr="00A019E1" w:rsidRDefault="00A019E1" w:rsidP="00A019E1">
      <w:pPr>
        <w:spacing w:after="0" w:line="360" w:lineRule="auto"/>
        <w:ind w:left="720" w:hanging="720"/>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t>USDA</w:t>
      </w:r>
      <w:r w:rsidR="003E1E3E">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sz w:val="24"/>
          <w:szCs w:val="24"/>
          <w:lang w:eastAsia="en-GB"/>
        </w:rPr>
        <w:t xml:space="preserve">(2022). Glossary of Terms Used in Ecosystem Services and Environmental Credit Markets Search Results. Markets for ecosystem services. </w:t>
      </w:r>
      <w:hyperlink r:id="rId9" w:history="1">
        <w:r w:rsidRPr="00A019E1">
          <w:rPr>
            <w:rFonts w:ascii="Times New Roman" w:eastAsia="Times New Roman" w:hAnsi="Times New Roman" w:cs="Times New Roman"/>
            <w:sz w:val="24"/>
            <w:szCs w:val="24"/>
            <w:lang w:eastAsia="en-GB"/>
          </w:rPr>
          <w:t>https://agclass.nal.usda.gov/mtwdk.exe?k=envmark&amp;l=60&amp;w=310&amp;s=5&amp;t=2</w:t>
        </w:r>
      </w:hyperlink>
    </w:p>
    <w:p w14:paraId="242AF80B" w14:textId="761B55C3" w:rsidR="00A019E1" w:rsidRPr="00A019E1" w:rsidRDefault="00A019E1" w:rsidP="00A019E1">
      <w:pPr>
        <w:spacing w:after="0" w:line="360"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t>Vogt, N., Reeson, A.F.</w:t>
      </w:r>
      <w:r w:rsidR="003E1E3E">
        <w:rPr>
          <w:rFonts w:ascii="Times New Roman" w:hAnsi="Times New Roman" w:cs="Times New Roman"/>
          <w:sz w:val="24"/>
          <w:szCs w:val="24"/>
        </w:rPr>
        <w:t xml:space="preserve"> and </w:t>
      </w:r>
      <w:r w:rsidRPr="00A019E1">
        <w:rPr>
          <w:rFonts w:ascii="Times New Roman" w:hAnsi="Times New Roman" w:cs="Times New Roman"/>
          <w:sz w:val="24"/>
          <w:szCs w:val="24"/>
        </w:rPr>
        <w:t>Bizer, K.</w:t>
      </w:r>
      <w:r w:rsidR="003E1E3E">
        <w:rPr>
          <w:rFonts w:ascii="Times New Roman" w:hAnsi="Times New Roman" w:cs="Times New Roman"/>
          <w:sz w:val="24"/>
          <w:szCs w:val="24"/>
        </w:rPr>
        <w:t xml:space="preserve"> (</w:t>
      </w:r>
      <w:r w:rsidRPr="00A019E1">
        <w:rPr>
          <w:rFonts w:ascii="Times New Roman" w:hAnsi="Times New Roman" w:cs="Times New Roman"/>
          <w:sz w:val="24"/>
          <w:szCs w:val="24"/>
        </w:rPr>
        <w:t>2013</w:t>
      </w:r>
      <w:r w:rsidR="003E1E3E">
        <w:rPr>
          <w:rFonts w:ascii="Times New Roman" w:hAnsi="Times New Roman" w:cs="Times New Roman"/>
          <w:sz w:val="24"/>
          <w:szCs w:val="24"/>
        </w:rPr>
        <w:t>)</w:t>
      </w:r>
      <w:r w:rsidRPr="00A019E1">
        <w:rPr>
          <w:rFonts w:ascii="Times New Roman" w:hAnsi="Times New Roman" w:cs="Times New Roman"/>
          <w:sz w:val="24"/>
          <w:szCs w:val="24"/>
        </w:rPr>
        <w:t>. Communication, competition and social gift exchange in an auction for public good provision. Ecological Economics, 93, 11-19.</w:t>
      </w:r>
    </w:p>
    <w:p w14:paraId="5ED52258" w14:textId="77777777" w:rsidR="008438FF" w:rsidRPr="00A019E1" w:rsidRDefault="008438FF" w:rsidP="002D5BE6">
      <w:pPr>
        <w:spacing w:after="0" w:line="276" w:lineRule="auto"/>
        <w:ind w:left="720" w:hanging="720"/>
        <w:jc w:val="both"/>
        <w:rPr>
          <w:rFonts w:ascii="Times New Roman" w:eastAsia="Times New Roman" w:hAnsi="Times New Roman" w:cs="Times New Roman"/>
          <w:sz w:val="24"/>
          <w:szCs w:val="24"/>
          <w:lang w:eastAsia="en-GB"/>
        </w:rPr>
      </w:pPr>
    </w:p>
    <w:sectPr w:rsidR="008438FF" w:rsidRPr="00A019E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505E9" w14:textId="77777777" w:rsidR="00CA03D3" w:rsidRDefault="00CA03D3" w:rsidP="003462B4">
      <w:pPr>
        <w:spacing w:after="0" w:line="240" w:lineRule="auto"/>
      </w:pPr>
      <w:r>
        <w:separator/>
      </w:r>
    </w:p>
  </w:endnote>
  <w:endnote w:type="continuationSeparator" w:id="0">
    <w:p w14:paraId="45036883" w14:textId="77777777" w:rsidR="00CA03D3" w:rsidRDefault="00CA03D3" w:rsidP="00346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738123"/>
      <w:docPartObj>
        <w:docPartGallery w:val="Page Numbers (Bottom of Page)"/>
        <w:docPartUnique/>
      </w:docPartObj>
    </w:sdtPr>
    <w:sdtEndPr>
      <w:rPr>
        <w:noProof/>
      </w:rPr>
    </w:sdtEndPr>
    <w:sdtContent>
      <w:p w14:paraId="0137CF4E" w14:textId="40121126" w:rsidR="00130127" w:rsidRDefault="00130127">
        <w:pPr>
          <w:pStyle w:val="Footer"/>
          <w:jc w:val="center"/>
        </w:pPr>
        <w:r>
          <w:fldChar w:fldCharType="begin"/>
        </w:r>
        <w:r>
          <w:instrText xml:space="preserve"> PAGE   \* MERGEFORMAT </w:instrText>
        </w:r>
        <w:r>
          <w:fldChar w:fldCharType="separate"/>
        </w:r>
        <w:r w:rsidR="00C5770D">
          <w:rPr>
            <w:noProof/>
          </w:rPr>
          <w:t>12</w:t>
        </w:r>
        <w:r>
          <w:rPr>
            <w:noProof/>
          </w:rPr>
          <w:fldChar w:fldCharType="end"/>
        </w:r>
      </w:p>
    </w:sdtContent>
  </w:sdt>
  <w:p w14:paraId="61F52069" w14:textId="77777777" w:rsidR="00130127" w:rsidRDefault="00130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D1B39" w14:textId="77777777" w:rsidR="00CA03D3" w:rsidRDefault="00CA03D3" w:rsidP="003462B4">
      <w:pPr>
        <w:spacing w:after="0" w:line="240" w:lineRule="auto"/>
      </w:pPr>
      <w:r>
        <w:separator/>
      </w:r>
    </w:p>
  </w:footnote>
  <w:footnote w:type="continuationSeparator" w:id="0">
    <w:p w14:paraId="7D4A4F72" w14:textId="77777777" w:rsidR="00CA03D3" w:rsidRDefault="00CA03D3" w:rsidP="00346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1D09" w14:textId="3ACABD02" w:rsidR="00130127" w:rsidRDefault="00130127">
    <w:pPr>
      <w:pStyle w:val="Header"/>
      <w:jc w:val="center"/>
    </w:pPr>
  </w:p>
  <w:p w14:paraId="4578EEA4" w14:textId="77777777" w:rsidR="00130127" w:rsidRDefault="00130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5995"/>
    <w:multiLevelType w:val="hybridMultilevel"/>
    <w:tmpl w:val="D28CF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03C43"/>
    <w:multiLevelType w:val="hybridMultilevel"/>
    <w:tmpl w:val="73060686"/>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107A59"/>
    <w:multiLevelType w:val="hybridMultilevel"/>
    <w:tmpl w:val="D6783D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E5515"/>
    <w:multiLevelType w:val="hybridMultilevel"/>
    <w:tmpl w:val="3A06874A"/>
    <w:lvl w:ilvl="0" w:tplc="0809000F">
      <w:start w:val="1"/>
      <w:numFmt w:val="decimal"/>
      <w:lvlText w:val="%1."/>
      <w:lvlJc w:val="left"/>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0C464A"/>
    <w:multiLevelType w:val="hybridMultilevel"/>
    <w:tmpl w:val="73F63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C85448"/>
    <w:multiLevelType w:val="hybridMultilevel"/>
    <w:tmpl w:val="0F1A9DBE"/>
    <w:lvl w:ilvl="0" w:tplc="08090011">
      <w:start w:val="1"/>
      <w:numFmt w:val="decimal"/>
      <w:lvlText w:val="%1)"/>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8168AC"/>
    <w:multiLevelType w:val="hybridMultilevel"/>
    <w:tmpl w:val="CAF2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91BE3"/>
    <w:multiLevelType w:val="hybridMultilevel"/>
    <w:tmpl w:val="FBCA1F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927ED2"/>
    <w:multiLevelType w:val="hybridMultilevel"/>
    <w:tmpl w:val="E7EE2902"/>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113CEA"/>
    <w:multiLevelType w:val="hybridMultilevel"/>
    <w:tmpl w:val="A0520A4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8B6C63"/>
    <w:multiLevelType w:val="hybridMultilevel"/>
    <w:tmpl w:val="A0520A4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191994"/>
    <w:multiLevelType w:val="hybridMultilevel"/>
    <w:tmpl w:val="134E1D34"/>
    <w:lvl w:ilvl="0" w:tplc="92D0DE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0B74C88"/>
    <w:multiLevelType w:val="hybridMultilevel"/>
    <w:tmpl w:val="923CB47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DE0219"/>
    <w:multiLevelType w:val="multilevel"/>
    <w:tmpl w:val="7194C03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1F3FA2"/>
    <w:multiLevelType w:val="multilevel"/>
    <w:tmpl w:val="DB4EE78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77497C"/>
    <w:multiLevelType w:val="hybridMultilevel"/>
    <w:tmpl w:val="DC6222B0"/>
    <w:lvl w:ilvl="0" w:tplc="305EFD0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3936BE"/>
    <w:multiLevelType w:val="hybridMultilevel"/>
    <w:tmpl w:val="586E04AA"/>
    <w:lvl w:ilvl="0" w:tplc="08090015">
      <w:start w:val="1"/>
      <w:numFmt w:val="upperLetter"/>
      <w:lvlText w:val="%1."/>
      <w:lvlJc w:val="left"/>
      <w:pPr>
        <w:ind w:left="21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3540FD"/>
    <w:multiLevelType w:val="hybridMultilevel"/>
    <w:tmpl w:val="C5B2BCFA"/>
    <w:lvl w:ilvl="0" w:tplc="427E4CD4">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B00CB2"/>
    <w:multiLevelType w:val="hybridMultilevel"/>
    <w:tmpl w:val="11543356"/>
    <w:lvl w:ilvl="0" w:tplc="03345C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1D402C"/>
    <w:multiLevelType w:val="multilevel"/>
    <w:tmpl w:val="172C392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965153B"/>
    <w:multiLevelType w:val="hybridMultilevel"/>
    <w:tmpl w:val="4AA64E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983151"/>
    <w:multiLevelType w:val="multilevel"/>
    <w:tmpl w:val="0AFEF4A6"/>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C99084F"/>
    <w:multiLevelType w:val="hybridMultilevel"/>
    <w:tmpl w:val="12606F32"/>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AA53C1"/>
    <w:multiLevelType w:val="hybridMultilevel"/>
    <w:tmpl w:val="C46270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B613CF"/>
    <w:multiLevelType w:val="hybridMultilevel"/>
    <w:tmpl w:val="23BC631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282F3C"/>
    <w:multiLevelType w:val="hybridMultilevel"/>
    <w:tmpl w:val="AAF05C66"/>
    <w:lvl w:ilvl="0" w:tplc="94B8F996">
      <w:start w:val="2"/>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5E1553"/>
    <w:multiLevelType w:val="hybridMultilevel"/>
    <w:tmpl w:val="FA72AAB6"/>
    <w:lvl w:ilvl="0" w:tplc="03CAAC2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BF08CA"/>
    <w:multiLevelType w:val="hybridMultilevel"/>
    <w:tmpl w:val="FD9ABE22"/>
    <w:lvl w:ilvl="0" w:tplc="0809000F">
      <w:start w:val="1"/>
      <w:numFmt w:val="decimal"/>
      <w:lvlText w:val="%1."/>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B10D5C"/>
    <w:multiLevelType w:val="hybridMultilevel"/>
    <w:tmpl w:val="8514B9EE"/>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6B54223"/>
    <w:multiLevelType w:val="multilevel"/>
    <w:tmpl w:val="076E56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46BA0584"/>
    <w:multiLevelType w:val="hybridMultilevel"/>
    <w:tmpl w:val="8FB45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672F8E"/>
    <w:multiLevelType w:val="hybridMultilevel"/>
    <w:tmpl w:val="5DE0C4A8"/>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386148F"/>
    <w:multiLevelType w:val="hybridMultilevel"/>
    <w:tmpl w:val="B5F63D06"/>
    <w:lvl w:ilvl="0" w:tplc="1F5C64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494588"/>
    <w:multiLevelType w:val="multilevel"/>
    <w:tmpl w:val="8B7814E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8918CF"/>
    <w:multiLevelType w:val="multilevel"/>
    <w:tmpl w:val="FA309D3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9B2AD6"/>
    <w:multiLevelType w:val="hybridMultilevel"/>
    <w:tmpl w:val="6E8ECCDE"/>
    <w:lvl w:ilvl="0" w:tplc="0809000F">
      <w:start w:val="1"/>
      <w:numFmt w:val="decimal"/>
      <w:lvlText w:val="%1."/>
      <w:lvlJc w:val="left"/>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CC0CAD"/>
    <w:multiLevelType w:val="hybridMultilevel"/>
    <w:tmpl w:val="227E8A5C"/>
    <w:lvl w:ilvl="0" w:tplc="1426650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C0382D"/>
    <w:multiLevelType w:val="hybridMultilevel"/>
    <w:tmpl w:val="851AC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A5031E"/>
    <w:multiLevelType w:val="hybridMultilevel"/>
    <w:tmpl w:val="4E44FD66"/>
    <w:lvl w:ilvl="0" w:tplc="0809000F">
      <w:start w:val="1"/>
      <w:numFmt w:val="decimal"/>
      <w:lvlText w:val="%1."/>
      <w:lvlJc w:val="left"/>
      <w:pPr>
        <w:ind w:left="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BC3026"/>
    <w:multiLevelType w:val="hybridMultilevel"/>
    <w:tmpl w:val="CD0E4954"/>
    <w:lvl w:ilvl="0" w:tplc="08090005">
      <w:start w:val="1"/>
      <w:numFmt w:val="bullet"/>
      <w:lvlText w:val=""/>
      <w:lvlJc w:val="left"/>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FC617F"/>
    <w:multiLevelType w:val="hybridMultilevel"/>
    <w:tmpl w:val="3ED6E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EC32E4"/>
    <w:multiLevelType w:val="hybridMultilevel"/>
    <w:tmpl w:val="2ED623C4"/>
    <w:lvl w:ilvl="0" w:tplc="45729C3C">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9200087"/>
    <w:multiLevelType w:val="hybridMultilevel"/>
    <w:tmpl w:val="E8242EA2"/>
    <w:lvl w:ilvl="0" w:tplc="B4C695C4">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A06EB7"/>
    <w:multiLevelType w:val="hybridMultilevel"/>
    <w:tmpl w:val="659C9E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CB4FFB"/>
    <w:multiLevelType w:val="multilevel"/>
    <w:tmpl w:val="172C392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FFC4E3B"/>
    <w:multiLevelType w:val="hybridMultilevel"/>
    <w:tmpl w:val="E714AE4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4251846">
    <w:abstractNumId w:val="39"/>
  </w:num>
  <w:num w:numId="2" w16cid:durableId="2080520054">
    <w:abstractNumId w:val="4"/>
  </w:num>
  <w:num w:numId="3" w16cid:durableId="1253121563">
    <w:abstractNumId w:val="20"/>
  </w:num>
  <w:num w:numId="4" w16cid:durableId="302197141">
    <w:abstractNumId w:val="12"/>
  </w:num>
  <w:num w:numId="5" w16cid:durableId="220361000">
    <w:abstractNumId w:val="2"/>
  </w:num>
  <w:num w:numId="6" w16cid:durableId="208808956">
    <w:abstractNumId w:val="5"/>
  </w:num>
  <w:num w:numId="7" w16cid:durableId="565189065">
    <w:abstractNumId w:val="11"/>
  </w:num>
  <w:num w:numId="8" w16cid:durableId="1710031524">
    <w:abstractNumId w:val="23"/>
  </w:num>
  <w:num w:numId="9" w16cid:durableId="452674769">
    <w:abstractNumId w:val="43"/>
  </w:num>
  <w:num w:numId="10" w16cid:durableId="332267742">
    <w:abstractNumId w:val="16"/>
  </w:num>
  <w:num w:numId="11" w16cid:durableId="572591389">
    <w:abstractNumId w:val="24"/>
  </w:num>
  <w:num w:numId="12" w16cid:durableId="2034073006">
    <w:abstractNumId w:val="3"/>
  </w:num>
  <w:num w:numId="13" w16cid:durableId="48891696">
    <w:abstractNumId w:val="27"/>
  </w:num>
  <w:num w:numId="14" w16cid:durableId="28997440">
    <w:abstractNumId w:val="35"/>
  </w:num>
  <w:num w:numId="15" w16cid:durableId="730809882">
    <w:abstractNumId w:val="38"/>
  </w:num>
  <w:num w:numId="16" w16cid:durableId="209925065">
    <w:abstractNumId w:val="40"/>
  </w:num>
  <w:num w:numId="17" w16cid:durableId="556866360">
    <w:abstractNumId w:val="0"/>
  </w:num>
  <w:num w:numId="18" w16cid:durableId="355036617">
    <w:abstractNumId w:val="37"/>
  </w:num>
  <w:num w:numId="19" w16cid:durableId="1684474413">
    <w:abstractNumId w:val="6"/>
  </w:num>
  <w:num w:numId="20" w16cid:durableId="504830314">
    <w:abstractNumId w:val="19"/>
  </w:num>
  <w:num w:numId="21" w16cid:durableId="255722211">
    <w:abstractNumId w:val="13"/>
  </w:num>
  <w:num w:numId="22" w16cid:durableId="469976521">
    <w:abstractNumId w:val="18"/>
  </w:num>
  <w:num w:numId="23" w16cid:durableId="1716738985">
    <w:abstractNumId w:val="30"/>
  </w:num>
  <w:num w:numId="24" w16cid:durableId="736904693">
    <w:abstractNumId w:val="44"/>
  </w:num>
  <w:num w:numId="25" w16cid:durableId="1538471924">
    <w:abstractNumId w:val="29"/>
  </w:num>
  <w:num w:numId="26" w16cid:durableId="1024751917">
    <w:abstractNumId w:val="10"/>
  </w:num>
  <w:num w:numId="27" w16cid:durableId="2045980483">
    <w:abstractNumId w:val="9"/>
  </w:num>
  <w:num w:numId="28" w16cid:durableId="1257865197">
    <w:abstractNumId w:val="31"/>
  </w:num>
  <w:num w:numId="29" w16cid:durableId="110829466">
    <w:abstractNumId w:val="25"/>
  </w:num>
  <w:num w:numId="30" w16cid:durableId="424352091">
    <w:abstractNumId w:val="41"/>
  </w:num>
  <w:num w:numId="31" w16cid:durableId="2033144005">
    <w:abstractNumId w:val="17"/>
  </w:num>
  <w:num w:numId="32" w16cid:durableId="1811751236">
    <w:abstractNumId w:val="15"/>
  </w:num>
  <w:num w:numId="33" w16cid:durableId="1672221264">
    <w:abstractNumId w:val="42"/>
  </w:num>
  <w:num w:numId="34" w16cid:durableId="687948404">
    <w:abstractNumId w:val="26"/>
  </w:num>
  <w:num w:numId="35" w16cid:durableId="782462998">
    <w:abstractNumId w:val="7"/>
  </w:num>
  <w:num w:numId="36" w16cid:durableId="1090472820">
    <w:abstractNumId w:val="14"/>
  </w:num>
  <w:num w:numId="37" w16cid:durableId="2026663777">
    <w:abstractNumId w:val="45"/>
  </w:num>
  <w:num w:numId="38" w16cid:durableId="433867145">
    <w:abstractNumId w:val="21"/>
  </w:num>
  <w:num w:numId="39" w16cid:durableId="1662002618">
    <w:abstractNumId w:val="32"/>
  </w:num>
  <w:num w:numId="40" w16cid:durableId="127549797">
    <w:abstractNumId w:val="1"/>
  </w:num>
  <w:num w:numId="41" w16cid:durableId="243999284">
    <w:abstractNumId w:val="28"/>
  </w:num>
  <w:num w:numId="42" w16cid:durableId="1732148821">
    <w:abstractNumId w:val="22"/>
  </w:num>
  <w:num w:numId="43" w16cid:durableId="1268080157">
    <w:abstractNumId w:val="8"/>
  </w:num>
  <w:num w:numId="44" w16cid:durableId="1313828892">
    <w:abstractNumId w:val="34"/>
  </w:num>
  <w:num w:numId="45" w16cid:durableId="701979032">
    <w:abstractNumId w:val="36"/>
  </w:num>
  <w:num w:numId="46" w16cid:durableId="43124371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YwNzMyszQxNrUwNjFR0lEKTi0uzszPAykwNKgFAEn76pctAAAA"/>
  </w:docVars>
  <w:rsids>
    <w:rsidRoot w:val="00572036"/>
    <w:rsid w:val="00000F12"/>
    <w:rsid w:val="00000F1D"/>
    <w:rsid w:val="00002E69"/>
    <w:rsid w:val="000051D8"/>
    <w:rsid w:val="000129C3"/>
    <w:rsid w:val="000132EC"/>
    <w:rsid w:val="00021A0F"/>
    <w:rsid w:val="00021EC8"/>
    <w:rsid w:val="00022C32"/>
    <w:rsid w:val="00023BB3"/>
    <w:rsid w:val="000257E3"/>
    <w:rsid w:val="00026C99"/>
    <w:rsid w:val="00026F6B"/>
    <w:rsid w:val="00032805"/>
    <w:rsid w:val="00033136"/>
    <w:rsid w:val="000331F8"/>
    <w:rsid w:val="00041D93"/>
    <w:rsid w:val="0004478F"/>
    <w:rsid w:val="00044FC7"/>
    <w:rsid w:val="00045A1C"/>
    <w:rsid w:val="0005099F"/>
    <w:rsid w:val="0005111C"/>
    <w:rsid w:val="000527F1"/>
    <w:rsid w:val="00056050"/>
    <w:rsid w:val="00056372"/>
    <w:rsid w:val="00071201"/>
    <w:rsid w:val="000754F4"/>
    <w:rsid w:val="00081392"/>
    <w:rsid w:val="0008287A"/>
    <w:rsid w:val="00087AA5"/>
    <w:rsid w:val="00090D64"/>
    <w:rsid w:val="00093DD1"/>
    <w:rsid w:val="0009526B"/>
    <w:rsid w:val="00095BC2"/>
    <w:rsid w:val="000A07E8"/>
    <w:rsid w:val="000A08FA"/>
    <w:rsid w:val="000B36B2"/>
    <w:rsid w:val="000B4163"/>
    <w:rsid w:val="000B7F56"/>
    <w:rsid w:val="000C3DDD"/>
    <w:rsid w:val="000C4CE5"/>
    <w:rsid w:val="000C7C39"/>
    <w:rsid w:val="000D05B7"/>
    <w:rsid w:val="000D14FE"/>
    <w:rsid w:val="000D6A4D"/>
    <w:rsid w:val="000D7ABB"/>
    <w:rsid w:val="000E16C7"/>
    <w:rsid w:val="000F5C19"/>
    <w:rsid w:val="00104E37"/>
    <w:rsid w:val="00105774"/>
    <w:rsid w:val="00106AD9"/>
    <w:rsid w:val="00112E20"/>
    <w:rsid w:val="00113CD5"/>
    <w:rsid w:val="001151FC"/>
    <w:rsid w:val="00115B53"/>
    <w:rsid w:val="00116647"/>
    <w:rsid w:val="00120940"/>
    <w:rsid w:val="00121E3A"/>
    <w:rsid w:val="001241EE"/>
    <w:rsid w:val="0012633A"/>
    <w:rsid w:val="00130127"/>
    <w:rsid w:val="00131CA5"/>
    <w:rsid w:val="00134CB3"/>
    <w:rsid w:val="001405DB"/>
    <w:rsid w:val="00140B24"/>
    <w:rsid w:val="00142262"/>
    <w:rsid w:val="00145F28"/>
    <w:rsid w:val="00154C16"/>
    <w:rsid w:val="001553F2"/>
    <w:rsid w:val="00166C9E"/>
    <w:rsid w:val="00166CBA"/>
    <w:rsid w:val="00167582"/>
    <w:rsid w:val="00167618"/>
    <w:rsid w:val="00170CC9"/>
    <w:rsid w:val="00172E0D"/>
    <w:rsid w:val="00172E92"/>
    <w:rsid w:val="00176CA9"/>
    <w:rsid w:val="001802C8"/>
    <w:rsid w:val="001809E4"/>
    <w:rsid w:val="00183F04"/>
    <w:rsid w:val="0018445F"/>
    <w:rsid w:val="00185528"/>
    <w:rsid w:val="0018637C"/>
    <w:rsid w:val="00192D9E"/>
    <w:rsid w:val="00192EBE"/>
    <w:rsid w:val="00195328"/>
    <w:rsid w:val="00195890"/>
    <w:rsid w:val="001A1E1C"/>
    <w:rsid w:val="001A352F"/>
    <w:rsid w:val="001A3B30"/>
    <w:rsid w:val="001B3081"/>
    <w:rsid w:val="001B4DE3"/>
    <w:rsid w:val="001B538E"/>
    <w:rsid w:val="001B6E0C"/>
    <w:rsid w:val="001C199B"/>
    <w:rsid w:val="001C1AB7"/>
    <w:rsid w:val="001C38AF"/>
    <w:rsid w:val="001C4B74"/>
    <w:rsid w:val="001C5502"/>
    <w:rsid w:val="001C79F2"/>
    <w:rsid w:val="001C7E52"/>
    <w:rsid w:val="001D0155"/>
    <w:rsid w:val="001D1F9A"/>
    <w:rsid w:val="001D750C"/>
    <w:rsid w:val="001E0E7E"/>
    <w:rsid w:val="001E5C7A"/>
    <w:rsid w:val="001F00EB"/>
    <w:rsid w:val="001F4280"/>
    <w:rsid w:val="001F721D"/>
    <w:rsid w:val="00200FF1"/>
    <w:rsid w:val="002029AD"/>
    <w:rsid w:val="002030D2"/>
    <w:rsid w:val="0020436A"/>
    <w:rsid w:val="002043D1"/>
    <w:rsid w:val="00205872"/>
    <w:rsid w:val="00217622"/>
    <w:rsid w:val="00217A65"/>
    <w:rsid w:val="00220608"/>
    <w:rsid w:val="00220822"/>
    <w:rsid w:val="00221711"/>
    <w:rsid w:val="00221F98"/>
    <w:rsid w:val="00222A2E"/>
    <w:rsid w:val="002230F9"/>
    <w:rsid w:val="002378B3"/>
    <w:rsid w:val="00241801"/>
    <w:rsid w:val="00242533"/>
    <w:rsid w:val="00247BE8"/>
    <w:rsid w:val="0025152B"/>
    <w:rsid w:val="002544F7"/>
    <w:rsid w:val="00257DC8"/>
    <w:rsid w:val="00260C4A"/>
    <w:rsid w:val="00261A0E"/>
    <w:rsid w:val="002709A8"/>
    <w:rsid w:val="00271332"/>
    <w:rsid w:val="00271956"/>
    <w:rsid w:val="00274570"/>
    <w:rsid w:val="00275129"/>
    <w:rsid w:val="00280D67"/>
    <w:rsid w:val="00280E6F"/>
    <w:rsid w:val="00281A59"/>
    <w:rsid w:val="00282898"/>
    <w:rsid w:val="0028315E"/>
    <w:rsid w:val="002857DB"/>
    <w:rsid w:val="00285BEE"/>
    <w:rsid w:val="00286CEF"/>
    <w:rsid w:val="002955AE"/>
    <w:rsid w:val="002A166D"/>
    <w:rsid w:val="002B054F"/>
    <w:rsid w:val="002B14E1"/>
    <w:rsid w:val="002B59C0"/>
    <w:rsid w:val="002B6C1E"/>
    <w:rsid w:val="002B7B59"/>
    <w:rsid w:val="002C3A1D"/>
    <w:rsid w:val="002C623C"/>
    <w:rsid w:val="002D0D29"/>
    <w:rsid w:val="002D5BE6"/>
    <w:rsid w:val="002D68E3"/>
    <w:rsid w:val="002D6961"/>
    <w:rsid w:val="002E3E04"/>
    <w:rsid w:val="002F1F78"/>
    <w:rsid w:val="002F63BC"/>
    <w:rsid w:val="00302B35"/>
    <w:rsid w:val="00302B37"/>
    <w:rsid w:val="003125B7"/>
    <w:rsid w:val="00313325"/>
    <w:rsid w:val="003172F7"/>
    <w:rsid w:val="003237BB"/>
    <w:rsid w:val="003243D1"/>
    <w:rsid w:val="00327B75"/>
    <w:rsid w:val="00332CF8"/>
    <w:rsid w:val="003335C8"/>
    <w:rsid w:val="00334BA3"/>
    <w:rsid w:val="0033725A"/>
    <w:rsid w:val="00345688"/>
    <w:rsid w:val="00346143"/>
    <w:rsid w:val="003462B4"/>
    <w:rsid w:val="003473FC"/>
    <w:rsid w:val="00347C67"/>
    <w:rsid w:val="003524BC"/>
    <w:rsid w:val="00354398"/>
    <w:rsid w:val="00355C65"/>
    <w:rsid w:val="00357014"/>
    <w:rsid w:val="00357AD6"/>
    <w:rsid w:val="003606E4"/>
    <w:rsid w:val="00362986"/>
    <w:rsid w:val="00365D52"/>
    <w:rsid w:val="0037134C"/>
    <w:rsid w:val="003714C6"/>
    <w:rsid w:val="003730F9"/>
    <w:rsid w:val="003745B4"/>
    <w:rsid w:val="00376557"/>
    <w:rsid w:val="003803BC"/>
    <w:rsid w:val="00382E19"/>
    <w:rsid w:val="00383388"/>
    <w:rsid w:val="0039354E"/>
    <w:rsid w:val="0039768A"/>
    <w:rsid w:val="003A410A"/>
    <w:rsid w:val="003B024A"/>
    <w:rsid w:val="003B2C40"/>
    <w:rsid w:val="003B38BD"/>
    <w:rsid w:val="003B3D36"/>
    <w:rsid w:val="003B4426"/>
    <w:rsid w:val="003C2239"/>
    <w:rsid w:val="003C2BCA"/>
    <w:rsid w:val="003C355F"/>
    <w:rsid w:val="003C4835"/>
    <w:rsid w:val="003C6977"/>
    <w:rsid w:val="003C760D"/>
    <w:rsid w:val="003D1E9C"/>
    <w:rsid w:val="003D3A93"/>
    <w:rsid w:val="003D5E2E"/>
    <w:rsid w:val="003E0E0E"/>
    <w:rsid w:val="003E142A"/>
    <w:rsid w:val="003E1AA2"/>
    <w:rsid w:val="003E1B3B"/>
    <w:rsid w:val="003E1E3E"/>
    <w:rsid w:val="003E6A29"/>
    <w:rsid w:val="003F79E1"/>
    <w:rsid w:val="0040350F"/>
    <w:rsid w:val="0040442F"/>
    <w:rsid w:val="004053DB"/>
    <w:rsid w:val="0040620E"/>
    <w:rsid w:val="00411002"/>
    <w:rsid w:val="004131DD"/>
    <w:rsid w:val="00414382"/>
    <w:rsid w:val="00415B82"/>
    <w:rsid w:val="00427A2B"/>
    <w:rsid w:val="00430E43"/>
    <w:rsid w:val="00432E6F"/>
    <w:rsid w:val="00433951"/>
    <w:rsid w:val="00441327"/>
    <w:rsid w:val="004455F4"/>
    <w:rsid w:val="004557B1"/>
    <w:rsid w:val="00461679"/>
    <w:rsid w:val="00462415"/>
    <w:rsid w:val="00466C74"/>
    <w:rsid w:val="00472D24"/>
    <w:rsid w:val="00477672"/>
    <w:rsid w:val="00480C6B"/>
    <w:rsid w:val="0048169B"/>
    <w:rsid w:val="00482738"/>
    <w:rsid w:val="0049048B"/>
    <w:rsid w:val="00491858"/>
    <w:rsid w:val="004B50A7"/>
    <w:rsid w:val="004B55A2"/>
    <w:rsid w:val="004B7A8A"/>
    <w:rsid w:val="004C0C3C"/>
    <w:rsid w:val="004C315C"/>
    <w:rsid w:val="004C62F4"/>
    <w:rsid w:val="004C65E9"/>
    <w:rsid w:val="004C65ED"/>
    <w:rsid w:val="004C79CE"/>
    <w:rsid w:val="004C7CDA"/>
    <w:rsid w:val="004D085D"/>
    <w:rsid w:val="004D3D3B"/>
    <w:rsid w:val="004D4405"/>
    <w:rsid w:val="004E502C"/>
    <w:rsid w:val="004E620D"/>
    <w:rsid w:val="004E77E5"/>
    <w:rsid w:val="004F1B99"/>
    <w:rsid w:val="004F2AA7"/>
    <w:rsid w:val="004F3121"/>
    <w:rsid w:val="004F40E1"/>
    <w:rsid w:val="004F682A"/>
    <w:rsid w:val="0050209F"/>
    <w:rsid w:val="00502594"/>
    <w:rsid w:val="00504325"/>
    <w:rsid w:val="005128E3"/>
    <w:rsid w:val="005136F1"/>
    <w:rsid w:val="00515BF8"/>
    <w:rsid w:val="00522FD9"/>
    <w:rsid w:val="005234D7"/>
    <w:rsid w:val="00523971"/>
    <w:rsid w:val="005250F6"/>
    <w:rsid w:val="00525BB1"/>
    <w:rsid w:val="005275B7"/>
    <w:rsid w:val="00532FD5"/>
    <w:rsid w:val="00536B88"/>
    <w:rsid w:val="005374A7"/>
    <w:rsid w:val="00541F57"/>
    <w:rsid w:val="00547C9D"/>
    <w:rsid w:val="0055263E"/>
    <w:rsid w:val="0055267F"/>
    <w:rsid w:val="005529C4"/>
    <w:rsid w:val="00553A42"/>
    <w:rsid w:val="00555298"/>
    <w:rsid w:val="005578B3"/>
    <w:rsid w:val="00563991"/>
    <w:rsid w:val="00564D72"/>
    <w:rsid w:val="00565158"/>
    <w:rsid w:val="00572036"/>
    <w:rsid w:val="005729A9"/>
    <w:rsid w:val="005763F4"/>
    <w:rsid w:val="005765D6"/>
    <w:rsid w:val="0058182F"/>
    <w:rsid w:val="00583DF6"/>
    <w:rsid w:val="00583F72"/>
    <w:rsid w:val="00586775"/>
    <w:rsid w:val="0059100D"/>
    <w:rsid w:val="00591C7C"/>
    <w:rsid w:val="00593545"/>
    <w:rsid w:val="00595970"/>
    <w:rsid w:val="005A0968"/>
    <w:rsid w:val="005B30E2"/>
    <w:rsid w:val="005B7F25"/>
    <w:rsid w:val="005C0F34"/>
    <w:rsid w:val="005C0FAD"/>
    <w:rsid w:val="005C15E3"/>
    <w:rsid w:val="005C5FF0"/>
    <w:rsid w:val="005D1FFE"/>
    <w:rsid w:val="005D7CDC"/>
    <w:rsid w:val="005E0977"/>
    <w:rsid w:val="005E2575"/>
    <w:rsid w:val="005E2EB7"/>
    <w:rsid w:val="005E3CD3"/>
    <w:rsid w:val="005E470A"/>
    <w:rsid w:val="005E5A77"/>
    <w:rsid w:val="005E621F"/>
    <w:rsid w:val="005F0410"/>
    <w:rsid w:val="005F50CB"/>
    <w:rsid w:val="005F5600"/>
    <w:rsid w:val="005F6762"/>
    <w:rsid w:val="005F7CC0"/>
    <w:rsid w:val="006059FB"/>
    <w:rsid w:val="006114A2"/>
    <w:rsid w:val="00613864"/>
    <w:rsid w:val="00613915"/>
    <w:rsid w:val="00614076"/>
    <w:rsid w:val="0061552F"/>
    <w:rsid w:val="0062098C"/>
    <w:rsid w:val="006252D9"/>
    <w:rsid w:val="00630CAC"/>
    <w:rsid w:val="006321BA"/>
    <w:rsid w:val="00634820"/>
    <w:rsid w:val="006436F1"/>
    <w:rsid w:val="00645720"/>
    <w:rsid w:val="00654A70"/>
    <w:rsid w:val="006568BF"/>
    <w:rsid w:val="006634BB"/>
    <w:rsid w:val="006702E1"/>
    <w:rsid w:val="006706B7"/>
    <w:rsid w:val="00671A60"/>
    <w:rsid w:val="00671E88"/>
    <w:rsid w:val="00683214"/>
    <w:rsid w:val="00684F05"/>
    <w:rsid w:val="006900C4"/>
    <w:rsid w:val="00691119"/>
    <w:rsid w:val="006919C8"/>
    <w:rsid w:val="00692F80"/>
    <w:rsid w:val="0069401B"/>
    <w:rsid w:val="006979C6"/>
    <w:rsid w:val="006A0A28"/>
    <w:rsid w:val="006A1D42"/>
    <w:rsid w:val="006A3EE3"/>
    <w:rsid w:val="006A43C3"/>
    <w:rsid w:val="006A60CE"/>
    <w:rsid w:val="006B04EB"/>
    <w:rsid w:val="006B1B3D"/>
    <w:rsid w:val="006C44C2"/>
    <w:rsid w:val="006C74DE"/>
    <w:rsid w:val="006D1127"/>
    <w:rsid w:val="006D32C3"/>
    <w:rsid w:val="006D3AEB"/>
    <w:rsid w:val="006D406D"/>
    <w:rsid w:val="006E2A17"/>
    <w:rsid w:val="006E4171"/>
    <w:rsid w:val="006E55DC"/>
    <w:rsid w:val="006E7B95"/>
    <w:rsid w:val="006E7C4F"/>
    <w:rsid w:val="0070213E"/>
    <w:rsid w:val="007052C3"/>
    <w:rsid w:val="00705DC3"/>
    <w:rsid w:val="00706DC6"/>
    <w:rsid w:val="007077E1"/>
    <w:rsid w:val="00717AB3"/>
    <w:rsid w:val="007211CB"/>
    <w:rsid w:val="007239A9"/>
    <w:rsid w:val="007340C4"/>
    <w:rsid w:val="007378EC"/>
    <w:rsid w:val="00744929"/>
    <w:rsid w:val="007533A6"/>
    <w:rsid w:val="007538B9"/>
    <w:rsid w:val="0075430C"/>
    <w:rsid w:val="00756D8D"/>
    <w:rsid w:val="0075762B"/>
    <w:rsid w:val="00760880"/>
    <w:rsid w:val="00761161"/>
    <w:rsid w:val="00765847"/>
    <w:rsid w:val="0076584F"/>
    <w:rsid w:val="00765991"/>
    <w:rsid w:val="00766C82"/>
    <w:rsid w:val="0076716F"/>
    <w:rsid w:val="007676B0"/>
    <w:rsid w:val="00775810"/>
    <w:rsid w:val="007776B2"/>
    <w:rsid w:val="00783B8F"/>
    <w:rsid w:val="0078476A"/>
    <w:rsid w:val="007853F0"/>
    <w:rsid w:val="00785600"/>
    <w:rsid w:val="0079118C"/>
    <w:rsid w:val="007915CC"/>
    <w:rsid w:val="00794F7C"/>
    <w:rsid w:val="007A1785"/>
    <w:rsid w:val="007A1F4A"/>
    <w:rsid w:val="007A37DA"/>
    <w:rsid w:val="007A6372"/>
    <w:rsid w:val="007C0DED"/>
    <w:rsid w:val="007C4A13"/>
    <w:rsid w:val="007C52F6"/>
    <w:rsid w:val="007C7D42"/>
    <w:rsid w:val="007D4CCB"/>
    <w:rsid w:val="007E0984"/>
    <w:rsid w:val="007E763E"/>
    <w:rsid w:val="007F052D"/>
    <w:rsid w:val="007F23B0"/>
    <w:rsid w:val="007F2CD0"/>
    <w:rsid w:val="00805CAF"/>
    <w:rsid w:val="00812117"/>
    <w:rsid w:val="00813984"/>
    <w:rsid w:val="0081448F"/>
    <w:rsid w:val="00814518"/>
    <w:rsid w:val="00821C74"/>
    <w:rsid w:val="00824E9B"/>
    <w:rsid w:val="00826801"/>
    <w:rsid w:val="008313D5"/>
    <w:rsid w:val="008329A3"/>
    <w:rsid w:val="008346DC"/>
    <w:rsid w:val="0083530A"/>
    <w:rsid w:val="00840298"/>
    <w:rsid w:val="008438FF"/>
    <w:rsid w:val="00846B0D"/>
    <w:rsid w:val="00850B02"/>
    <w:rsid w:val="00851BF4"/>
    <w:rsid w:val="00855EFB"/>
    <w:rsid w:val="008566E4"/>
    <w:rsid w:val="008618AA"/>
    <w:rsid w:val="00862DA1"/>
    <w:rsid w:val="0086332E"/>
    <w:rsid w:val="00864012"/>
    <w:rsid w:val="00872973"/>
    <w:rsid w:val="008739C3"/>
    <w:rsid w:val="008744B7"/>
    <w:rsid w:val="0087754B"/>
    <w:rsid w:val="008940B3"/>
    <w:rsid w:val="00894E4F"/>
    <w:rsid w:val="00895F83"/>
    <w:rsid w:val="008A178C"/>
    <w:rsid w:val="008B1934"/>
    <w:rsid w:val="008B31BE"/>
    <w:rsid w:val="008C0CED"/>
    <w:rsid w:val="008C3DD6"/>
    <w:rsid w:val="008D0D98"/>
    <w:rsid w:val="008D54A6"/>
    <w:rsid w:val="008D636A"/>
    <w:rsid w:val="008D6C74"/>
    <w:rsid w:val="008E4A39"/>
    <w:rsid w:val="008E7156"/>
    <w:rsid w:val="008F0BDE"/>
    <w:rsid w:val="008F22D5"/>
    <w:rsid w:val="008F3DFA"/>
    <w:rsid w:val="008F5455"/>
    <w:rsid w:val="008F57AA"/>
    <w:rsid w:val="00904221"/>
    <w:rsid w:val="00904D48"/>
    <w:rsid w:val="0092027F"/>
    <w:rsid w:val="00920CEA"/>
    <w:rsid w:val="00922E7E"/>
    <w:rsid w:val="00924F93"/>
    <w:rsid w:val="009301B4"/>
    <w:rsid w:val="009306B8"/>
    <w:rsid w:val="009309A8"/>
    <w:rsid w:val="00933305"/>
    <w:rsid w:val="0093381C"/>
    <w:rsid w:val="009345F9"/>
    <w:rsid w:val="009435DB"/>
    <w:rsid w:val="00945AAE"/>
    <w:rsid w:val="0095031A"/>
    <w:rsid w:val="00951F6B"/>
    <w:rsid w:val="00952846"/>
    <w:rsid w:val="00955D52"/>
    <w:rsid w:val="0096545F"/>
    <w:rsid w:val="00965528"/>
    <w:rsid w:val="00975998"/>
    <w:rsid w:val="00977414"/>
    <w:rsid w:val="009863D1"/>
    <w:rsid w:val="00990970"/>
    <w:rsid w:val="009935B1"/>
    <w:rsid w:val="00996050"/>
    <w:rsid w:val="009A317D"/>
    <w:rsid w:val="009A3F2B"/>
    <w:rsid w:val="009A79D3"/>
    <w:rsid w:val="009A7C8C"/>
    <w:rsid w:val="009A7FAD"/>
    <w:rsid w:val="009B21C0"/>
    <w:rsid w:val="009B431B"/>
    <w:rsid w:val="009B58CA"/>
    <w:rsid w:val="009B59BB"/>
    <w:rsid w:val="009B5F9B"/>
    <w:rsid w:val="009B71B5"/>
    <w:rsid w:val="009C6CD6"/>
    <w:rsid w:val="009D7AD7"/>
    <w:rsid w:val="009E08E6"/>
    <w:rsid w:val="009E24E4"/>
    <w:rsid w:val="009F339A"/>
    <w:rsid w:val="009F5427"/>
    <w:rsid w:val="00A019E1"/>
    <w:rsid w:val="00A124A2"/>
    <w:rsid w:val="00A17CDB"/>
    <w:rsid w:val="00A20316"/>
    <w:rsid w:val="00A25E0E"/>
    <w:rsid w:val="00A25EC2"/>
    <w:rsid w:val="00A30202"/>
    <w:rsid w:val="00A32B46"/>
    <w:rsid w:val="00A333B0"/>
    <w:rsid w:val="00A33640"/>
    <w:rsid w:val="00A34267"/>
    <w:rsid w:val="00A35663"/>
    <w:rsid w:val="00A36317"/>
    <w:rsid w:val="00A36C61"/>
    <w:rsid w:val="00A41D50"/>
    <w:rsid w:val="00A473D7"/>
    <w:rsid w:val="00A47D5E"/>
    <w:rsid w:val="00A5672B"/>
    <w:rsid w:val="00A61075"/>
    <w:rsid w:val="00A61149"/>
    <w:rsid w:val="00A62359"/>
    <w:rsid w:val="00A623CB"/>
    <w:rsid w:val="00A667E9"/>
    <w:rsid w:val="00A70F58"/>
    <w:rsid w:val="00A73FD9"/>
    <w:rsid w:val="00A804A7"/>
    <w:rsid w:val="00A83D8A"/>
    <w:rsid w:val="00A866AE"/>
    <w:rsid w:val="00A90BA3"/>
    <w:rsid w:val="00A947E3"/>
    <w:rsid w:val="00AA0B22"/>
    <w:rsid w:val="00AA1A7C"/>
    <w:rsid w:val="00AA1E16"/>
    <w:rsid w:val="00AB104C"/>
    <w:rsid w:val="00AB11DF"/>
    <w:rsid w:val="00AB2A67"/>
    <w:rsid w:val="00AC0420"/>
    <w:rsid w:val="00AC17F9"/>
    <w:rsid w:val="00AC415A"/>
    <w:rsid w:val="00AC548C"/>
    <w:rsid w:val="00AC6473"/>
    <w:rsid w:val="00AC75DF"/>
    <w:rsid w:val="00AD4792"/>
    <w:rsid w:val="00AD4C8E"/>
    <w:rsid w:val="00AD5F78"/>
    <w:rsid w:val="00AD614B"/>
    <w:rsid w:val="00AF1366"/>
    <w:rsid w:val="00AF1883"/>
    <w:rsid w:val="00AF36F6"/>
    <w:rsid w:val="00B0434D"/>
    <w:rsid w:val="00B057BE"/>
    <w:rsid w:val="00B060F9"/>
    <w:rsid w:val="00B06A46"/>
    <w:rsid w:val="00B20282"/>
    <w:rsid w:val="00B2298A"/>
    <w:rsid w:val="00B236FD"/>
    <w:rsid w:val="00B24377"/>
    <w:rsid w:val="00B24F06"/>
    <w:rsid w:val="00B2659D"/>
    <w:rsid w:val="00B27FFC"/>
    <w:rsid w:val="00B31113"/>
    <w:rsid w:val="00B347DE"/>
    <w:rsid w:val="00B44398"/>
    <w:rsid w:val="00B478E5"/>
    <w:rsid w:val="00B47F05"/>
    <w:rsid w:val="00B6005B"/>
    <w:rsid w:val="00B60BA9"/>
    <w:rsid w:val="00B645FF"/>
    <w:rsid w:val="00B7097E"/>
    <w:rsid w:val="00B75D6F"/>
    <w:rsid w:val="00B776ED"/>
    <w:rsid w:val="00B834F2"/>
    <w:rsid w:val="00B84AEB"/>
    <w:rsid w:val="00B91D15"/>
    <w:rsid w:val="00B95472"/>
    <w:rsid w:val="00BA250C"/>
    <w:rsid w:val="00BA3568"/>
    <w:rsid w:val="00BA53DE"/>
    <w:rsid w:val="00BB0D25"/>
    <w:rsid w:val="00BB1FA6"/>
    <w:rsid w:val="00BB3561"/>
    <w:rsid w:val="00BB3828"/>
    <w:rsid w:val="00BB68F4"/>
    <w:rsid w:val="00BC554A"/>
    <w:rsid w:val="00BD58F8"/>
    <w:rsid w:val="00BE271C"/>
    <w:rsid w:val="00BE5009"/>
    <w:rsid w:val="00BE67A4"/>
    <w:rsid w:val="00BE7996"/>
    <w:rsid w:val="00BF23BC"/>
    <w:rsid w:val="00BF7669"/>
    <w:rsid w:val="00C001A2"/>
    <w:rsid w:val="00C00C24"/>
    <w:rsid w:val="00C01FAA"/>
    <w:rsid w:val="00C03D8D"/>
    <w:rsid w:val="00C049D4"/>
    <w:rsid w:val="00C120CD"/>
    <w:rsid w:val="00C13AB8"/>
    <w:rsid w:val="00C1465E"/>
    <w:rsid w:val="00C16438"/>
    <w:rsid w:val="00C23158"/>
    <w:rsid w:val="00C3148B"/>
    <w:rsid w:val="00C32269"/>
    <w:rsid w:val="00C40B3D"/>
    <w:rsid w:val="00C412D9"/>
    <w:rsid w:val="00C43DDA"/>
    <w:rsid w:val="00C477FF"/>
    <w:rsid w:val="00C47BD0"/>
    <w:rsid w:val="00C50FB2"/>
    <w:rsid w:val="00C54F44"/>
    <w:rsid w:val="00C5770D"/>
    <w:rsid w:val="00C605BF"/>
    <w:rsid w:val="00C60EA5"/>
    <w:rsid w:val="00C61941"/>
    <w:rsid w:val="00C639DD"/>
    <w:rsid w:val="00C648E8"/>
    <w:rsid w:val="00C67170"/>
    <w:rsid w:val="00C72B6E"/>
    <w:rsid w:val="00C72E14"/>
    <w:rsid w:val="00C76C35"/>
    <w:rsid w:val="00C80D8F"/>
    <w:rsid w:val="00C80FD5"/>
    <w:rsid w:val="00C81F3E"/>
    <w:rsid w:val="00C84099"/>
    <w:rsid w:val="00C8766F"/>
    <w:rsid w:val="00C91195"/>
    <w:rsid w:val="00C918C2"/>
    <w:rsid w:val="00C9393A"/>
    <w:rsid w:val="00CA03D3"/>
    <w:rsid w:val="00CA304A"/>
    <w:rsid w:val="00CA7D82"/>
    <w:rsid w:val="00CB0722"/>
    <w:rsid w:val="00CC05B7"/>
    <w:rsid w:val="00CC1D83"/>
    <w:rsid w:val="00CC1E34"/>
    <w:rsid w:val="00CC302A"/>
    <w:rsid w:val="00CC4D88"/>
    <w:rsid w:val="00CD1E04"/>
    <w:rsid w:val="00CD38BC"/>
    <w:rsid w:val="00CE046B"/>
    <w:rsid w:val="00CE4C44"/>
    <w:rsid w:val="00CF0FB6"/>
    <w:rsid w:val="00CF1B68"/>
    <w:rsid w:val="00CF5826"/>
    <w:rsid w:val="00CF6C63"/>
    <w:rsid w:val="00CF72F8"/>
    <w:rsid w:val="00D01B25"/>
    <w:rsid w:val="00D05FC5"/>
    <w:rsid w:val="00D064A2"/>
    <w:rsid w:val="00D06B2D"/>
    <w:rsid w:val="00D15DE1"/>
    <w:rsid w:val="00D17F34"/>
    <w:rsid w:val="00D238A8"/>
    <w:rsid w:val="00D23B0E"/>
    <w:rsid w:val="00D24322"/>
    <w:rsid w:val="00D24D90"/>
    <w:rsid w:val="00D3080D"/>
    <w:rsid w:val="00D33AF6"/>
    <w:rsid w:val="00D354B5"/>
    <w:rsid w:val="00D35767"/>
    <w:rsid w:val="00D36668"/>
    <w:rsid w:val="00D4791B"/>
    <w:rsid w:val="00D51D81"/>
    <w:rsid w:val="00D60084"/>
    <w:rsid w:val="00D63512"/>
    <w:rsid w:val="00D65196"/>
    <w:rsid w:val="00D71526"/>
    <w:rsid w:val="00D72986"/>
    <w:rsid w:val="00D732B3"/>
    <w:rsid w:val="00D779A7"/>
    <w:rsid w:val="00D808F7"/>
    <w:rsid w:val="00D84D8F"/>
    <w:rsid w:val="00D8608D"/>
    <w:rsid w:val="00D8652B"/>
    <w:rsid w:val="00D86FF7"/>
    <w:rsid w:val="00D92EF6"/>
    <w:rsid w:val="00D93A4A"/>
    <w:rsid w:val="00DA1C1F"/>
    <w:rsid w:val="00DA435E"/>
    <w:rsid w:val="00DB255C"/>
    <w:rsid w:val="00DB2E18"/>
    <w:rsid w:val="00DB6913"/>
    <w:rsid w:val="00DB74B0"/>
    <w:rsid w:val="00DC2F42"/>
    <w:rsid w:val="00DE635F"/>
    <w:rsid w:val="00DF22D2"/>
    <w:rsid w:val="00DF5EE3"/>
    <w:rsid w:val="00E0104A"/>
    <w:rsid w:val="00E0368B"/>
    <w:rsid w:val="00E043A0"/>
    <w:rsid w:val="00E10EDA"/>
    <w:rsid w:val="00E11A32"/>
    <w:rsid w:val="00E12FB6"/>
    <w:rsid w:val="00E15813"/>
    <w:rsid w:val="00E15FAB"/>
    <w:rsid w:val="00E17016"/>
    <w:rsid w:val="00E2121C"/>
    <w:rsid w:val="00E25FE3"/>
    <w:rsid w:val="00E26DC3"/>
    <w:rsid w:val="00E32A09"/>
    <w:rsid w:val="00E342AF"/>
    <w:rsid w:val="00E40426"/>
    <w:rsid w:val="00E404F5"/>
    <w:rsid w:val="00E55DFC"/>
    <w:rsid w:val="00E579D2"/>
    <w:rsid w:val="00E57A1E"/>
    <w:rsid w:val="00E60CB4"/>
    <w:rsid w:val="00E61F58"/>
    <w:rsid w:val="00E63E6F"/>
    <w:rsid w:val="00E67DC3"/>
    <w:rsid w:val="00E75668"/>
    <w:rsid w:val="00E7588A"/>
    <w:rsid w:val="00E823ED"/>
    <w:rsid w:val="00E85358"/>
    <w:rsid w:val="00E8661F"/>
    <w:rsid w:val="00E9071B"/>
    <w:rsid w:val="00E9424C"/>
    <w:rsid w:val="00EA3D90"/>
    <w:rsid w:val="00EA73B4"/>
    <w:rsid w:val="00EB1533"/>
    <w:rsid w:val="00EB513E"/>
    <w:rsid w:val="00EB5319"/>
    <w:rsid w:val="00EC1067"/>
    <w:rsid w:val="00EC25C3"/>
    <w:rsid w:val="00EC7019"/>
    <w:rsid w:val="00ED3E13"/>
    <w:rsid w:val="00ED6F65"/>
    <w:rsid w:val="00EE1DC7"/>
    <w:rsid w:val="00EE702A"/>
    <w:rsid w:val="00EE7104"/>
    <w:rsid w:val="00EF10A8"/>
    <w:rsid w:val="00EF4E4C"/>
    <w:rsid w:val="00EF6008"/>
    <w:rsid w:val="00F01F62"/>
    <w:rsid w:val="00F1008D"/>
    <w:rsid w:val="00F12A2B"/>
    <w:rsid w:val="00F136CE"/>
    <w:rsid w:val="00F14D06"/>
    <w:rsid w:val="00F16CB9"/>
    <w:rsid w:val="00F172E0"/>
    <w:rsid w:val="00F231CC"/>
    <w:rsid w:val="00F243A9"/>
    <w:rsid w:val="00F27B3C"/>
    <w:rsid w:val="00F3171F"/>
    <w:rsid w:val="00F327D6"/>
    <w:rsid w:val="00F367B1"/>
    <w:rsid w:val="00F40F73"/>
    <w:rsid w:val="00F46C6A"/>
    <w:rsid w:val="00F50A9A"/>
    <w:rsid w:val="00F56B91"/>
    <w:rsid w:val="00F60218"/>
    <w:rsid w:val="00F7022B"/>
    <w:rsid w:val="00F70B35"/>
    <w:rsid w:val="00F754BF"/>
    <w:rsid w:val="00F7585B"/>
    <w:rsid w:val="00F7639F"/>
    <w:rsid w:val="00F80BC4"/>
    <w:rsid w:val="00F810F6"/>
    <w:rsid w:val="00F84255"/>
    <w:rsid w:val="00F84567"/>
    <w:rsid w:val="00F86AA9"/>
    <w:rsid w:val="00F90874"/>
    <w:rsid w:val="00F926AD"/>
    <w:rsid w:val="00F92A37"/>
    <w:rsid w:val="00F944A2"/>
    <w:rsid w:val="00FA0C76"/>
    <w:rsid w:val="00FA3E91"/>
    <w:rsid w:val="00FA4564"/>
    <w:rsid w:val="00FA45C6"/>
    <w:rsid w:val="00FA4F3B"/>
    <w:rsid w:val="00FA6BC1"/>
    <w:rsid w:val="00FB1470"/>
    <w:rsid w:val="00FB1DC8"/>
    <w:rsid w:val="00FB25DC"/>
    <w:rsid w:val="00FB2DF5"/>
    <w:rsid w:val="00FB2F01"/>
    <w:rsid w:val="00FB4763"/>
    <w:rsid w:val="00FB7A21"/>
    <w:rsid w:val="00FC04B4"/>
    <w:rsid w:val="00FC0BF2"/>
    <w:rsid w:val="00FC1AEC"/>
    <w:rsid w:val="00FC20D1"/>
    <w:rsid w:val="00FC363D"/>
    <w:rsid w:val="00FC63D6"/>
    <w:rsid w:val="00FD67BA"/>
    <w:rsid w:val="00FE04DD"/>
    <w:rsid w:val="00FE0FD4"/>
    <w:rsid w:val="00FE4785"/>
    <w:rsid w:val="00FE6735"/>
    <w:rsid w:val="00FE7624"/>
    <w:rsid w:val="00FF5090"/>
    <w:rsid w:val="00FF575E"/>
    <w:rsid w:val="00FF66A3"/>
    <w:rsid w:val="00FF6C0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36F0F"/>
  <w15:docId w15:val="{E609CE85-75CC-43BA-BD86-E07ACBE5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B25D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5DC"/>
    <w:pPr>
      <w:ind w:left="720"/>
      <w:contextualSpacing/>
    </w:pPr>
  </w:style>
  <w:style w:type="character" w:customStyle="1" w:styleId="Heading2Char">
    <w:name w:val="Heading 2 Char"/>
    <w:basedOn w:val="DefaultParagraphFont"/>
    <w:link w:val="Heading2"/>
    <w:uiPriority w:val="9"/>
    <w:rsid w:val="00FB25DC"/>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FB25DC"/>
    <w:rPr>
      <w:i/>
      <w:iCs/>
    </w:rPr>
  </w:style>
  <w:style w:type="character" w:customStyle="1" w:styleId="querysrchtext">
    <w:name w:val="querysrchtext"/>
    <w:basedOn w:val="DefaultParagraphFont"/>
    <w:rsid w:val="00FB25DC"/>
  </w:style>
  <w:style w:type="character" w:styleId="CommentReference">
    <w:name w:val="annotation reference"/>
    <w:basedOn w:val="DefaultParagraphFont"/>
    <w:uiPriority w:val="99"/>
    <w:semiHidden/>
    <w:unhideWhenUsed/>
    <w:rsid w:val="00A473D7"/>
    <w:rPr>
      <w:sz w:val="16"/>
      <w:szCs w:val="16"/>
    </w:rPr>
  </w:style>
  <w:style w:type="paragraph" w:styleId="CommentText">
    <w:name w:val="annotation text"/>
    <w:basedOn w:val="Normal"/>
    <w:link w:val="CommentTextChar"/>
    <w:uiPriority w:val="99"/>
    <w:unhideWhenUsed/>
    <w:rsid w:val="00A473D7"/>
    <w:pPr>
      <w:spacing w:line="240" w:lineRule="auto"/>
    </w:pPr>
    <w:rPr>
      <w:sz w:val="20"/>
      <w:szCs w:val="20"/>
    </w:rPr>
  </w:style>
  <w:style w:type="character" w:customStyle="1" w:styleId="CommentTextChar">
    <w:name w:val="Comment Text Char"/>
    <w:basedOn w:val="DefaultParagraphFont"/>
    <w:link w:val="CommentText"/>
    <w:uiPriority w:val="99"/>
    <w:rsid w:val="00A473D7"/>
    <w:rPr>
      <w:sz w:val="20"/>
      <w:szCs w:val="20"/>
    </w:rPr>
  </w:style>
  <w:style w:type="paragraph" w:styleId="CommentSubject">
    <w:name w:val="annotation subject"/>
    <w:basedOn w:val="CommentText"/>
    <w:next w:val="CommentText"/>
    <w:link w:val="CommentSubjectChar"/>
    <w:uiPriority w:val="99"/>
    <w:semiHidden/>
    <w:unhideWhenUsed/>
    <w:rsid w:val="00A473D7"/>
    <w:rPr>
      <w:b/>
      <w:bCs/>
    </w:rPr>
  </w:style>
  <w:style w:type="character" w:customStyle="1" w:styleId="CommentSubjectChar">
    <w:name w:val="Comment Subject Char"/>
    <w:basedOn w:val="CommentTextChar"/>
    <w:link w:val="CommentSubject"/>
    <w:uiPriority w:val="99"/>
    <w:semiHidden/>
    <w:rsid w:val="00A473D7"/>
    <w:rPr>
      <w:b/>
      <w:bCs/>
      <w:sz w:val="20"/>
      <w:szCs w:val="20"/>
    </w:rPr>
  </w:style>
  <w:style w:type="paragraph" w:styleId="Header">
    <w:name w:val="header"/>
    <w:basedOn w:val="Normal"/>
    <w:link w:val="HeaderChar"/>
    <w:uiPriority w:val="99"/>
    <w:unhideWhenUsed/>
    <w:rsid w:val="003462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2B4"/>
  </w:style>
  <w:style w:type="paragraph" w:styleId="Footer">
    <w:name w:val="footer"/>
    <w:basedOn w:val="Normal"/>
    <w:link w:val="FooterChar"/>
    <w:uiPriority w:val="99"/>
    <w:unhideWhenUsed/>
    <w:rsid w:val="003462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2B4"/>
  </w:style>
  <w:style w:type="table" w:styleId="TableGrid">
    <w:name w:val="Table Grid"/>
    <w:basedOn w:val="TableNormal"/>
    <w:uiPriority w:val="39"/>
    <w:rsid w:val="00721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27D6"/>
    <w:rPr>
      <w:color w:val="0563C1" w:themeColor="hyperlink"/>
      <w:u w:val="single"/>
    </w:rPr>
  </w:style>
  <w:style w:type="character" w:customStyle="1" w:styleId="UnresolvedMention1">
    <w:name w:val="Unresolved Mention1"/>
    <w:basedOn w:val="DefaultParagraphFont"/>
    <w:uiPriority w:val="99"/>
    <w:semiHidden/>
    <w:unhideWhenUsed/>
    <w:rsid w:val="00F327D6"/>
    <w:rPr>
      <w:color w:val="605E5C"/>
      <w:shd w:val="clear" w:color="auto" w:fill="E1DFDD"/>
    </w:rPr>
  </w:style>
  <w:style w:type="paragraph" w:styleId="BalloonText">
    <w:name w:val="Balloon Text"/>
    <w:basedOn w:val="Normal"/>
    <w:link w:val="BalloonTextChar"/>
    <w:uiPriority w:val="99"/>
    <w:semiHidden/>
    <w:unhideWhenUsed/>
    <w:rsid w:val="006B04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4EB"/>
    <w:rPr>
      <w:rFonts w:ascii="Segoe UI" w:hAnsi="Segoe UI" w:cs="Segoe UI"/>
      <w:sz w:val="18"/>
      <w:szCs w:val="18"/>
    </w:rPr>
  </w:style>
  <w:style w:type="paragraph" w:styleId="Revision">
    <w:name w:val="Revision"/>
    <w:hidden/>
    <w:uiPriority w:val="99"/>
    <w:semiHidden/>
    <w:rsid w:val="00502594"/>
    <w:pPr>
      <w:spacing w:after="0" w:line="240" w:lineRule="auto"/>
    </w:pPr>
  </w:style>
  <w:style w:type="paragraph" w:styleId="FootnoteText">
    <w:name w:val="footnote text"/>
    <w:basedOn w:val="Normal"/>
    <w:link w:val="FootnoteTextChar"/>
    <w:uiPriority w:val="99"/>
    <w:semiHidden/>
    <w:unhideWhenUsed/>
    <w:rsid w:val="008438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38FF"/>
    <w:rPr>
      <w:sz w:val="20"/>
      <w:szCs w:val="20"/>
    </w:rPr>
  </w:style>
  <w:style w:type="character" w:styleId="FootnoteReference">
    <w:name w:val="footnote reference"/>
    <w:basedOn w:val="DefaultParagraphFont"/>
    <w:uiPriority w:val="99"/>
    <w:semiHidden/>
    <w:unhideWhenUsed/>
    <w:rsid w:val="008438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37511">
      <w:bodyDiv w:val="1"/>
      <w:marLeft w:val="0"/>
      <w:marRight w:val="0"/>
      <w:marTop w:val="0"/>
      <w:marBottom w:val="0"/>
      <w:divBdr>
        <w:top w:val="none" w:sz="0" w:space="0" w:color="auto"/>
        <w:left w:val="none" w:sz="0" w:space="0" w:color="auto"/>
        <w:bottom w:val="none" w:sz="0" w:space="0" w:color="auto"/>
        <w:right w:val="none" w:sz="0" w:space="0" w:color="auto"/>
      </w:divBdr>
    </w:div>
    <w:div w:id="516700539">
      <w:bodyDiv w:val="1"/>
      <w:marLeft w:val="0"/>
      <w:marRight w:val="0"/>
      <w:marTop w:val="0"/>
      <w:marBottom w:val="0"/>
      <w:divBdr>
        <w:top w:val="none" w:sz="0" w:space="0" w:color="auto"/>
        <w:left w:val="none" w:sz="0" w:space="0" w:color="auto"/>
        <w:bottom w:val="none" w:sz="0" w:space="0" w:color="auto"/>
        <w:right w:val="none" w:sz="0" w:space="0" w:color="auto"/>
      </w:divBdr>
    </w:div>
    <w:div w:id="678627866">
      <w:bodyDiv w:val="1"/>
      <w:marLeft w:val="0"/>
      <w:marRight w:val="0"/>
      <w:marTop w:val="0"/>
      <w:marBottom w:val="0"/>
      <w:divBdr>
        <w:top w:val="none" w:sz="0" w:space="0" w:color="auto"/>
        <w:left w:val="none" w:sz="0" w:space="0" w:color="auto"/>
        <w:bottom w:val="none" w:sz="0" w:space="0" w:color="auto"/>
        <w:right w:val="none" w:sz="0" w:space="0" w:color="auto"/>
      </w:divBdr>
    </w:div>
    <w:div w:id="1060254467">
      <w:bodyDiv w:val="1"/>
      <w:marLeft w:val="0"/>
      <w:marRight w:val="0"/>
      <w:marTop w:val="0"/>
      <w:marBottom w:val="0"/>
      <w:divBdr>
        <w:top w:val="none" w:sz="0" w:space="0" w:color="auto"/>
        <w:left w:val="none" w:sz="0" w:space="0" w:color="auto"/>
        <w:bottom w:val="none" w:sz="0" w:space="0" w:color="auto"/>
        <w:right w:val="none" w:sz="0" w:space="0" w:color="auto"/>
      </w:divBdr>
    </w:div>
    <w:div w:id="1103498523">
      <w:bodyDiv w:val="1"/>
      <w:marLeft w:val="0"/>
      <w:marRight w:val="0"/>
      <w:marTop w:val="0"/>
      <w:marBottom w:val="0"/>
      <w:divBdr>
        <w:top w:val="none" w:sz="0" w:space="0" w:color="auto"/>
        <w:left w:val="none" w:sz="0" w:space="0" w:color="auto"/>
        <w:bottom w:val="none" w:sz="0" w:space="0" w:color="auto"/>
        <w:right w:val="none" w:sz="0" w:space="0" w:color="auto"/>
      </w:divBdr>
    </w:div>
    <w:div w:id="1261261018">
      <w:bodyDiv w:val="1"/>
      <w:marLeft w:val="0"/>
      <w:marRight w:val="0"/>
      <w:marTop w:val="0"/>
      <w:marBottom w:val="0"/>
      <w:divBdr>
        <w:top w:val="none" w:sz="0" w:space="0" w:color="auto"/>
        <w:left w:val="none" w:sz="0" w:space="0" w:color="auto"/>
        <w:bottom w:val="none" w:sz="0" w:space="0" w:color="auto"/>
        <w:right w:val="none" w:sz="0" w:space="0" w:color="auto"/>
      </w:divBdr>
    </w:div>
    <w:div w:id="1627421214">
      <w:bodyDiv w:val="1"/>
      <w:marLeft w:val="0"/>
      <w:marRight w:val="0"/>
      <w:marTop w:val="0"/>
      <w:marBottom w:val="0"/>
      <w:divBdr>
        <w:top w:val="none" w:sz="0" w:space="0" w:color="auto"/>
        <w:left w:val="none" w:sz="0" w:space="0" w:color="auto"/>
        <w:bottom w:val="none" w:sz="0" w:space="0" w:color="auto"/>
        <w:right w:val="none" w:sz="0" w:space="0" w:color="auto"/>
      </w:divBdr>
    </w:div>
    <w:div w:id="1763142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ea.europa.eu/help/glossary/eea-gloss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gclass.nal.usda.gov/mtwdk.exe?k=envmark&amp;l=60&amp;w=310&amp;s=5&amp;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09084-B171-49AF-82A7-220A64915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6467</Words>
  <Characters>36862</Characters>
  <Application>Microsoft Office Word</Application>
  <DocSecurity>4</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Nthambi</dc:creator>
  <cp:keywords/>
  <dc:description/>
  <cp:lastModifiedBy>Katherine Simpson</cp:lastModifiedBy>
  <cp:revision>2</cp:revision>
  <dcterms:created xsi:type="dcterms:W3CDTF">2022-06-16T09:55:00Z</dcterms:created>
  <dcterms:modified xsi:type="dcterms:W3CDTF">2022-06-16T09:55:00Z</dcterms:modified>
</cp:coreProperties>
</file>